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DAF7" w14:textId="004E7A39" w:rsidR="00C12A95" w:rsidRDefault="00DA2A9C">
      <w:pPr>
        <w:rPr>
          <w:b/>
        </w:rPr>
        <w:sectPr w:rsidR="00C12A95" w:rsidSect="00F07D76">
          <w:pgSz w:w="12240" w:h="15840"/>
          <w:pgMar w:top="720" w:right="720" w:bottom="720" w:left="720" w:header="720" w:footer="720" w:gutter="0"/>
          <w:pgNumType w:start="1"/>
          <w:cols w:space="720"/>
        </w:sectPr>
      </w:pPr>
      <w:r w:rsidRPr="00BC79A5">
        <w:rPr>
          <w:rFonts w:ascii="Gotham Medium" w:hAnsi="Gotham Medium"/>
          <w:noProof/>
          <w:color w:val="002060"/>
          <w:sz w:val="40"/>
          <w:szCs w:val="40"/>
        </w:rPr>
        <mc:AlternateContent>
          <mc:Choice Requires="wps">
            <w:drawing>
              <wp:anchor distT="0" distB="0" distL="114300" distR="114300" simplePos="0" relativeHeight="251658242" behindDoc="0" locked="0" layoutInCell="1" allowOverlap="1" wp14:anchorId="5DB392CE" wp14:editId="64F2968E">
                <wp:simplePos x="0" y="0"/>
                <wp:positionH relativeFrom="margin">
                  <wp:align>left</wp:align>
                </wp:positionH>
                <wp:positionV relativeFrom="paragraph">
                  <wp:posOffset>1109345</wp:posOffset>
                </wp:positionV>
                <wp:extent cx="6885305" cy="8890"/>
                <wp:effectExtent l="0" t="0" r="29845" b="29210"/>
                <wp:wrapNone/>
                <wp:docPr id="380308106" name="Straight Connector 380308106"/>
                <wp:cNvGraphicFramePr/>
                <a:graphic xmlns:a="http://schemas.openxmlformats.org/drawingml/2006/main">
                  <a:graphicData uri="http://schemas.microsoft.com/office/word/2010/wordprocessingShape">
                    <wps:wsp>
                      <wps:cNvCnPr/>
                      <wps:spPr>
                        <a:xfrm flipV="1">
                          <a:off x="0" y="0"/>
                          <a:ext cx="6885305" cy="8890"/>
                        </a:xfrm>
                        <a:prstGeom prst="line">
                          <a:avLst/>
                        </a:prstGeom>
                        <a:noFill/>
                        <a:ln w="952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E2C54F" id="Straight Connector 380308106"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35pt" to="542.1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" strokecolor="red">
                <v:stroke joinstyle="miter"/>
                <w10:wrap anchorx="margin"/>
              </v:line>
            </w:pict>
          </mc:Fallback>
        </mc:AlternateContent>
      </w:r>
      <w:r w:rsidR="00D0770C">
        <w:rPr>
          <w:b/>
          <w:noProof/>
        </w:rPr>
        <w:drawing>
          <wp:inline distT="0" distB="0" distL="0" distR="0" wp14:anchorId="4B38DB8C" wp14:editId="4B38DB8D">
            <wp:extent cx="6889750" cy="1117033"/>
            <wp:effectExtent l="0" t="0" r="0" b="0"/>
            <wp:docPr id="50" name="Picture 50"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background pattern&#10;&#10;Description automatically generated"/>
                    <pic:cNvPicPr preferRelativeResize="0"/>
                  </pic:nvPicPr>
                  <pic:blipFill>
                    <a:blip r:embed="rId12"/>
                    <a:srcRect/>
                    <a:stretch>
                      <a:fillRect/>
                    </a:stretch>
                  </pic:blipFill>
                  <pic:spPr>
                    <a:xfrm>
                      <a:off x="0" y="0"/>
                      <a:ext cx="6889750" cy="1117033"/>
                    </a:xfrm>
                    <a:prstGeom prst="rect">
                      <a:avLst/>
                    </a:prstGeom>
                    <a:ln/>
                  </pic:spPr>
                </pic:pic>
              </a:graphicData>
            </a:graphic>
          </wp:inline>
        </w:drawing>
      </w:r>
      <w:r w:rsidR="00D0770C">
        <w:rPr>
          <w:noProof/>
        </w:rPr>
        <mc:AlternateContent>
          <mc:Choice Requires="wps">
            <w:drawing>
              <wp:anchor distT="0" distB="0" distL="114300" distR="114300" simplePos="0" relativeHeight="251658240" behindDoc="0" locked="0" layoutInCell="1" hidden="0" allowOverlap="1" wp14:anchorId="4B38DB8E" wp14:editId="4B38DB8F">
                <wp:simplePos x="0" y="0"/>
                <wp:positionH relativeFrom="column">
                  <wp:posOffset>-12699</wp:posOffset>
                </wp:positionH>
                <wp:positionV relativeFrom="paragraph">
                  <wp:posOffset>1181100</wp:posOffset>
                </wp:positionV>
                <wp:extent cx="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1903348" y="3780000"/>
                          <a:ext cx="6885305" cy="0"/>
                        </a:xfrm>
                        <a:prstGeom prst="straightConnector1">
                          <a:avLst/>
                        </a:prstGeom>
                        <a:noFill/>
                        <a:ln w="9525" cap="flat" cmpd="sng">
                          <a:solidFill>
                            <a:srgbClr val="FF0000"/>
                          </a:solidFill>
                          <a:prstDash val="solid"/>
                          <a:miter lim="800000"/>
                          <a:headEnd type="none" w="sm" len="sm"/>
                          <a:tailEnd type="none" w="sm" len="sm"/>
                        </a:ln>
                      </wps:spPr>
                      <wps:bodyPr/>
                    </wps:wsp>
                  </a:graphicData>
                </a:graphic>
              </wp:anchor>
            </w:drawing>
          </mc:Choice>
          <mc:Fallback>
            <w:pict>
              <v:shapetype w14:anchorId="64DC3D24" id="_x0000_t32" coordsize="21600,21600" o:spt="32" o:oned="t" path="m,l21600,21600e" filled="f">
                <v:path arrowok="t" fillok="f" o:connecttype="none"/>
                <o:lock v:ext="edit" shapetype="t"/>
              </v:shapetype>
              <v:shape id="Straight Arrow Connector 35" o:spid="_x0000_s1026" type="#_x0000_t32" style="position:absolute;margin-left:-1pt;margin-top:9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" strokecolor="red">
                <v:stroke startarrowwidth="narrow" startarrowlength="short" endarrowwidth="narrow" endarrowlength="short" joinstyle="miter"/>
              </v:shape>
            </w:pict>
          </mc:Fallback>
        </mc:AlternateContent>
      </w:r>
    </w:p>
    <w:p w14:paraId="00EE6C71" w14:textId="77777777" w:rsidR="0005490D" w:rsidRPr="0005490D" w:rsidRDefault="0005490D" w:rsidP="0005490D">
      <w:pPr>
        <w:spacing w:before="120"/>
        <w:ind w:left="720" w:right="720"/>
        <w:jc w:val="center"/>
        <w:rPr>
          <w:rFonts w:ascii="Gotham Medium" w:eastAsiaTheme="minorHAnsi" w:hAnsi="Gotham Medium" w:cstheme="minorBidi"/>
          <w:b/>
          <w:bCs/>
          <w:color w:val="104177"/>
          <w:sz w:val="56"/>
          <w:szCs w:val="56"/>
        </w:rPr>
      </w:pPr>
      <w:r w:rsidRPr="0005490D">
        <w:rPr>
          <w:rFonts w:ascii="Gotham Medium" w:eastAsiaTheme="minorHAnsi" w:hAnsi="Gotham Medium" w:cstheme="minorBidi"/>
          <w:b/>
          <w:bCs/>
          <w:color w:val="104177"/>
          <w:sz w:val="56"/>
          <w:szCs w:val="56"/>
        </w:rPr>
        <w:t xml:space="preserve">The PMI Evolve Project </w:t>
      </w:r>
    </w:p>
    <w:p w14:paraId="55C2CE57" w14:textId="61A62E0A" w:rsidR="0005490D" w:rsidRPr="0005490D" w:rsidRDefault="00DA2A9C" w:rsidP="0005490D">
      <w:pPr>
        <w:ind w:left="720" w:right="720"/>
        <w:jc w:val="center"/>
        <w:rPr>
          <w:rFonts w:ascii="Gotham Medium" w:eastAsiaTheme="minorHAnsi" w:hAnsi="Gotham Medium" w:cstheme="minorBidi"/>
          <w:b/>
          <w:bCs/>
          <w:color w:val="104177"/>
          <w:sz w:val="56"/>
          <w:szCs w:val="56"/>
        </w:rPr>
      </w:pPr>
      <w:r>
        <w:rPr>
          <w:rFonts w:ascii="Gotham Medium" w:eastAsiaTheme="minorHAnsi" w:hAnsi="Gotham Medium" w:cstheme="minorBidi"/>
          <w:b/>
          <w:bCs/>
          <w:color w:val="104177"/>
          <w:sz w:val="56"/>
          <w:szCs w:val="56"/>
        </w:rPr>
        <w:t>Zambia</w:t>
      </w:r>
      <w:r w:rsidR="0005490D" w:rsidRPr="0005490D">
        <w:rPr>
          <w:rFonts w:ascii="Gotham Medium" w:eastAsiaTheme="minorHAnsi" w:hAnsi="Gotham Medium" w:cstheme="minorBidi"/>
          <w:b/>
          <w:bCs/>
          <w:color w:val="104177"/>
          <w:sz w:val="56"/>
          <w:szCs w:val="56"/>
        </w:rPr>
        <w:t xml:space="preserve"> Durability Monitoring Snapshot: </w:t>
      </w:r>
      <w:r w:rsidR="0095016F">
        <w:rPr>
          <w:rFonts w:ascii="Gotham Medium" w:eastAsiaTheme="minorHAnsi" w:hAnsi="Gotham Medium" w:cstheme="minorBidi"/>
          <w:b/>
          <w:bCs/>
          <w:color w:val="104177"/>
          <w:sz w:val="56"/>
          <w:szCs w:val="56"/>
        </w:rPr>
        <w:t>36</w:t>
      </w:r>
      <w:r w:rsidR="0005490D" w:rsidRPr="0005490D">
        <w:rPr>
          <w:rFonts w:ascii="Gotham Medium" w:eastAsiaTheme="minorHAnsi" w:hAnsi="Gotham Medium" w:cstheme="minorBidi"/>
          <w:b/>
          <w:bCs/>
          <w:color w:val="104177"/>
          <w:sz w:val="56"/>
          <w:szCs w:val="56"/>
        </w:rPr>
        <w:t xml:space="preserve"> Months </w:t>
      </w:r>
    </w:p>
    <w:p w14:paraId="2D72CEA7" w14:textId="501A1409" w:rsidR="0005490D" w:rsidRDefault="00DA2A9C" w:rsidP="0005490D">
      <w:pPr>
        <w:ind w:left="720" w:right="720"/>
        <w:jc w:val="center"/>
        <w:rPr>
          <w:rFonts w:ascii="Gotham Medium" w:eastAsiaTheme="minorHAnsi" w:hAnsi="Gotham Medium" w:cstheme="minorBidi"/>
          <w:color w:val="1F3468"/>
          <w:sz w:val="40"/>
          <w:szCs w:val="40"/>
        </w:rPr>
      </w:pPr>
      <w:r>
        <w:rPr>
          <w:rFonts w:ascii="Gotham Medium" w:eastAsiaTheme="minorHAnsi" w:hAnsi="Gotham Medium" w:cstheme="minorBidi"/>
          <w:noProof/>
          <w:color w:val="002060"/>
          <w:sz w:val="40"/>
          <w:szCs w:val="40"/>
        </w:rPr>
        <w:t xml:space="preserve">November 1 - </w:t>
      </w:r>
      <w:r w:rsidR="00EF27F4">
        <w:rPr>
          <w:rFonts w:ascii="Gotham Medium" w:eastAsiaTheme="minorHAnsi" w:hAnsi="Gotham Medium" w:cstheme="minorBidi"/>
          <w:noProof/>
          <w:color w:val="002060"/>
          <w:sz w:val="40"/>
          <w:szCs w:val="40"/>
        </w:rPr>
        <w:t>11</w:t>
      </w:r>
      <w:r w:rsidR="0005490D" w:rsidRPr="0005490D">
        <w:rPr>
          <w:rFonts w:ascii="Gotham Medium" w:eastAsiaTheme="minorHAnsi" w:hAnsi="Gotham Medium" w:cstheme="minorBidi"/>
          <w:color w:val="1F3468"/>
          <w:sz w:val="40"/>
          <w:szCs w:val="40"/>
        </w:rPr>
        <w:t>, 202</w:t>
      </w:r>
      <w:r w:rsidR="00EF27F4">
        <w:rPr>
          <w:rFonts w:ascii="Gotham Medium" w:eastAsiaTheme="minorHAnsi" w:hAnsi="Gotham Medium" w:cstheme="minorBidi"/>
          <w:color w:val="1F3468"/>
          <w:sz w:val="40"/>
          <w:szCs w:val="40"/>
        </w:rPr>
        <w:t>3</w:t>
      </w:r>
      <w:r w:rsidR="00AA42AD">
        <w:rPr>
          <w:rFonts w:ascii="Gotham Medium" w:eastAsiaTheme="minorHAnsi" w:hAnsi="Gotham Medium" w:cstheme="minorBidi"/>
          <w:color w:val="1F3468"/>
          <w:sz w:val="40"/>
          <w:szCs w:val="40"/>
        </w:rPr>
        <w:t xml:space="preserve"> (</w:t>
      </w:r>
      <w:r w:rsidR="00D06251">
        <w:rPr>
          <w:rFonts w:ascii="Gotham Medium" w:eastAsiaTheme="minorHAnsi" w:hAnsi="Gotham Medium" w:cstheme="minorBidi"/>
          <w:color w:val="1F3468"/>
          <w:sz w:val="40"/>
          <w:szCs w:val="40"/>
        </w:rPr>
        <w:t>Serenje</w:t>
      </w:r>
      <w:r w:rsidR="00AA42AD">
        <w:rPr>
          <w:rFonts w:ascii="Gotham Medium" w:eastAsiaTheme="minorHAnsi" w:hAnsi="Gotham Medium" w:cstheme="minorBidi"/>
          <w:color w:val="1F3468"/>
          <w:sz w:val="40"/>
          <w:szCs w:val="40"/>
        </w:rPr>
        <w:t>)</w:t>
      </w:r>
    </w:p>
    <w:p w14:paraId="6A86307D" w14:textId="12C4150B" w:rsidR="00AA42AD" w:rsidRPr="0005490D" w:rsidRDefault="00AA42AD" w:rsidP="0005490D">
      <w:pPr>
        <w:ind w:left="720" w:right="720"/>
        <w:jc w:val="center"/>
        <w:rPr>
          <w:rFonts w:ascii="Gotham Medium" w:eastAsiaTheme="minorHAnsi" w:hAnsi="Gotham Medium" w:cstheme="minorBidi"/>
          <w:color w:val="1F3468"/>
          <w:sz w:val="40"/>
          <w:szCs w:val="40"/>
        </w:rPr>
      </w:pPr>
      <w:r w:rsidRPr="0005490D">
        <w:rPr>
          <w:rFonts w:ascii="Gotham Medium" w:eastAsiaTheme="minorHAnsi" w:hAnsi="Gotham Medium" w:cstheme="minorBidi"/>
          <w:noProof/>
          <w:color w:val="002060"/>
          <w:sz w:val="40"/>
          <w:szCs w:val="40"/>
        </w:rPr>
        <mc:AlternateContent>
          <mc:Choice Requires="wps">
            <w:drawing>
              <wp:anchor distT="0" distB="0" distL="114300" distR="114300" simplePos="0" relativeHeight="251658241" behindDoc="0" locked="0" layoutInCell="1" allowOverlap="1" wp14:anchorId="286EA2F4" wp14:editId="050B97D8">
                <wp:simplePos x="0" y="0"/>
                <wp:positionH relativeFrom="margin">
                  <wp:align>left</wp:align>
                </wp:positionH>
                <wp:positionV relativeFrom="paragraph">
                  <wp:posOffset>384175</wp:posOffset>
                </wp:positionV>
                <wp:extent cx="6885305" cy="8890"/>
                <wp:effectExtent l="0" t="0" r="29845" b="29210"/>
                <wp:wrapNone/>
                <wp:docPr id="7" name="Straight Connector 7"/>
                <wp:cNvGraphicFramePr/>
                <a:graphic xmlns:a="http://schemas.openxmlformats.org/drawingml/2006/main">
                  <a:graphicData uri="http://schemas.microsoft.com/office/word/2010/wordprocessingShape">
                    <wps:wsp>
                      <wps:cNvCnPr/>
                      <wps:spPr>
                        <a:xfrm flipV="1">
                          <a:off x="0" y="0"/>
                          <a:ext cx="6885305" cy="8890"/>
                        </a:xfrm>
                        <a:prstGeom prst="line">
                          <a:avLst/>
                        </a:prstGeom>
                        <a:noFill/>
                        <a:ln w="952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BFC02" id="Straight Connector 7"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25pt" to="542.1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" strokecolor="red">
                <v:stroke joinstyle="miter"/>
                <w10:wrap anchorx="margin"/>
              </v:line>
            </w:pict>
          </mc:Fallback>
        </mc:AlternateContent>
      </w:r>
      <w:r>
        <w:rPr>
          <w:rFonts w:ascii="Gotham Medium" w:eastAsiaTheme="minorHAnsi" w:hAnsi="Gotham Medium" w:cstheme="minorBidi"/>
          <w:noProof/>
          <w:color w:val="002060"/>
          <w:sz w:val="40"/>
          <w:szCs w:val="40"/>
        </w:rPr>
        <w:t>February 1</w:t>
      </w:r>
      <w:r w:rsidR="004B2FBA">
        <w:rPr>
          <w:rFonts w:ascii="Gotham Medium" w:eastAsiaTheme="minorHAnsi" w:hAnsi="Gotham Medium" w:cstheme="minorBidi"/>
          <w:noProof/>
          <w:color w:val="002060"/>
          <w:sz w:val="40"/>
          <w:szCs w:val="40"/>
        </w:rPr>
        <w:t>2</w:t>
      </w:r>
      <w:r>
        <w:rPr>
          <w:rFonts w:ascii="Gotham Medium" w:eastAsiaTheme="minorHAnsi" w:hAnsi="Gotham Medium" w:cstheme="minorBidi"/>
          <w:noProof/>
          <w:color w:val="002060"/>
          <w:sz w:val="40"/>
          <w:szCs w:val="40"/>
        </w:rPr>
        <w:t xml:space="preserve"> – 20, 202</w:t>
      </w:r>
      <w:r w:rsidR="004B2FBA">
        <w:rPr>
          <w:rFonts w:ascii="Gotham Medium" w:eastAsiaTheme="minorHAnsi" w:hAnsi="Gotham Medium" w:cstheme="minorBidi"/>
          <w:noProof/>
          <w:color w:val="002060"/>
          <w:sz w:val="40"/>
          <w:szCs w:val="40"/>
        </w:rPr>
        <w:t>4</w:t>
      </w:r>
      <w:r>
        <w:rPr>
          <w:rFonts w:ascii="Gotham Medium" w:eastAsiaTheme="minorHAnsi" w:hAnsi="Gotham Medium" w:cstheme="minorBidi"/>
          <w:noProof/>
          <w:color w:val="002060"/>
          <w:sz w:val="40"/>
          <w:szCs w:val="40"/>
        </w:rPr>
        <w:t xml:space="preserve"> (</w:t>
      </w:r>
      <w:r w:rsidR="00D06251">
        <w:rPr>
          <w:rFonts w:ascii="Gotham Medium" w:eastAsiaTheme="minorHAnsi" w:hAnsi="Gotham Medium" w:cstheme="minorBidi"/>
          <w:noProof/>
          <w:color w:val="002060"/>
          <w:sz w:val="40"/>
          <w:szCs w:val="40"/>
        </w:rPr>
        <w:t>Nyimba</w:t>
      </w:r>
      <w:r>
        <w:rPr>
          <w:rFonts w:ascii="Gotham Medium" w:eastAsiaTheme="minorHAnsi" w:hAnsi="Gotham Medium" w:cstheme="minorBidi"/>
          <w:noProof/>
          <w:color w:val="002060"/>
          <w:sz w:val="40"/>
          <w:szCs w:val="40"/>
        </w:rPr>
        <w:t>)</w:t>
      </w:r>
    </w:p>
    <w:p w14:paraId="4B38DB02" w14:textId="77777777" w:rsidR="00C12A95" w:rsidRDefault="00C12A95" w:rsidP="00AA42AD">
      <w:pPr>
        <w:ind w:right="720"/>
        <w:rPr>
          <w:rFonts w:ascii="Montserrat Medium" w:eastAsia="Montserrat Medium" w:hAnsi="Montserrat Medium" w:cs="Montserrat Medium"/>
          <w:color w:val="1F3468"/>
          <w:sz w:val="40"/>
          <w:szCs w:val="40"/>
        </w:rPr>
      </w:pPr>
    </w:p>
    <w:p w14:paraId="4B38DB03" w14:textId="77777777" w:rsidR="00C12A95" w:rsidRDefault="00C12A95">
      <w:pPr>
        <w:ind w:left="720" w:right="720"/>
        <w:rPr>
          <w:rFonts w:ascii="Montserrat Medium" w:eastAsia="Montserrat Medium" w:hAnsi="Montserrat Medium" w:cs="Montserrat Medium"/>
          <w:color w:val="1F3468"/>
          <w:sz w:val="40"/>
          <w:szCs w:val="40"/>
        </w:rPr>
      </w:pPr>
    </w:p>
    <w:p w14:paraId="4B38DB04" w14:textId="77777777" w:rsidR="00C12A95" w:rsidRDefault="00C12A95">
      <w:pPr>
        <w:ind w:left="720" w:right="720"/>
        <w:rPr>
          <w:rFonts w:ascii="Montserrat Medium" w:eastAsia="Montserrat Medium" w:hAnsi="Montserrat Medium" w:cs="Montserrat Medium"/>
          <w:color w:val="1F3468"/>
          <w:sz w:val="40"/>
          <w:szCs w:val="40"/>
        </w:rPr>
        <w:sectPr w:rsidR="00C12A95" w:rsidSect="00F07D7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sectPr>
      </w:pPr>
    </w:p>
    <w:p w14:paraId="4B38DB05" w14:textId="77777777" w:rsidR="00C12A95" w:rsidRDefault="00D0770C">
      <w:pPr>
        <w:pStyle w:val="Heading2"/>
        <w:ind w:left="720" w:hanging="720"/>
      </w:pPr>
      <w:bookmarkStart w:id="0" w:name="_heading=h.gjdgxs" w:colFirst="0" w:colLast="0"/>
      <w:bookmarkEnd w:id="0"/>
      <w:r>
        <w:lastRenderedPageBreak/>
        <w:t>Study Overview</w:t>
      </w:r>
    </w:p>
    <w:p w14:paraId="4B38DB06" w14:textId="77777777" w:rsidR="00C12A95" w:rsidRPr="00D247CE" w:rsidRDefault="00D0770C" w:rsidP="003B4251">
      <w:pPr>
        <w:pStyle w:val="1-BodyText"/>
        <w:rPr>
          <w:b/>
          <w:bCs/>
        </w:rPr>
      </w:pPr>
      <w:r w:rsidRPr="00D247CE">
        <w:rPr>
          <w:b/>
          <w:bCs/>
        </w:rPr>
        <w:t>Net products:</w:t>
      </w:r>
    </w:p>
    <w:p w14:paraId="0184A027" w14:textId="77777777" w:rsidR="003174A3" w:rsidRDefault="003174A3" w:rsidP="003174A3">
      <w:pPr>
        <w:pStyle w:val="1-BodyText"/>
        <w:numPr>
          <w:ilvl w:val="0"/>
          <w:numId w:val="2"/>
        </w:numPr>
      </w:pPr>
      <w:r>
        <w:t>Veeralin® (alpha-cypermethrin + PBO)</w:t>
      </w:r>
    </w:p>
    <w:p w14:paraId="496A2723" w14:textId="56E6A939" w:rsidR="001416CE" w:rsidRPr="005E3076" w:rsidRDefault="001416CE" w:rsidP="001416CE">
      <w:pPr>
        <w:pStyle w:val="1-BodyText"/>
        <w:numPr>
          <w:ilvl w:val="0"/>
          <w:numId w:val="2"/>
        </w:numPr>
        <w:rPr>
          <w:lang w:val="fr-FR"/>
        </w:rPr>
      </w:pPr>
      <w:r w:rsidRPr="005E3076">
        <w:rPr>
          <w:lang w:val="fr-FR"/>
        </w:rPr>
        <w:t>Olyset® Plus (permethrin + piperonyl butoxide (PBO)</w:t>
      </w:r>
    </w:p>
    <w:p w14:paraId="4B38DB09" w14:textId="31A9FBB9" w:rsidR="00C12A95" w:rsidRDefault="00D0770C" w:rsidP="00D247CE">
      <w:pPr>
        <w:pStyle w:val="1-BodyText"/>
      </w:pPr>
      <w:r>
        <w:rPr>
          <w:b/>
        </w:rPr>
        <w:t>Design:</w:t>
      </w:r>
      <w:r>
        <w:t xml:space="preserve"> </w:t>
      </w:r>
      <w:r w:rsidR="00FD1BFD" w:rsidRPr="00805AB1">
        <w:t xml:space="preserve">Different </w:t>
      </w:r>
      <w:r>
        <w:t>brands in similar zones</w:t>
      </w:r>
    </w:p>
    <w:p w14:paraId="51F13B17" w14:textId="77777777" w:rsidR="006D32BE" w:rsidRDefault="00D0770C" w:rsidP="00D247CE">
      <w:pPr>
        <w:pStyle w:val="1-BodyText"/>
      </w:pPr>
      <w:r>
        <w:rPr>
          <w:b/>
        </w:rPr>
        <w:t>Campaign date:</w:t>
      </w:r>
      <w:r>
        <w:t xml:space="preserve"> </w:t>
      </w:r>
    </w:p>
    <w:p w14:paraId="7260E13B" w14:textId="77777777" w:rsidR="006331BE" w:rsidRDefault="006331BE" w:rsidP="006331BE">
      <w:pPr>
        <w:pStyle w:val="1-BodyText"/>
        <w:numPr>
          <w:ilvl w:val="0"/>
          <w:numId w:val="2"/>
        </w:numPr>
      </w:pPr>
      <w:r>
        <w:t>Serenje: November - December 2020</w:t>
      </w:r>
    </w:p>
    <w:p w14:paraId="17D16FA9" w14:textId="343C4B8F" w:rsidR="007A2348" w:rsidRDefault="005B0460" w:rsidP="007A2348">
      <w:pPr>
        <w:pStyle w:val="1-BodyText"/>
        <w:numPr>
          <w:ilvl w:val="0"/>
          <w:numId w:val="2"/>
        </w:numPr>
      </w:pPr>
      <w:r>
        <w:t xml:space="preserve">Nyimba: </w:t>
      </w:r>
      <w:r w:rsidR="007A2348">
        <w:t>January - April 2021</w:t>
      </w:r>
    </w:p>
    <w:p w14:paraId="3AA6E8A2" w14:textId="77777777" w:rsidR="00E87EA5" w:rsidRDefault="00D0770C" w:rsidP="00D247CE">
      <w:pPr>
        <w:pStyle w:val="1-BodyText"/>
      </w:pPr>
      <w:r>
        <w:rPr>
          <w:b/>
        </w:rPr>
        <w:t>Last data collection round:</w:t>
      </w:r>
      <w:r>
        <w:t xml:space="preserve"> </w:t>
      </w:r>
    </w:p>
    <w:p w14:paraId="2D4381F1" w14:textId="77777777" w:rsidR="006331BE" w:rsidRDefault="006331BE" w:rsidP="006331BE">
      <w:pPr>
        <w:pStyle w:val="1-BodyText"/>
        <w:numPr>
          <w:ilvl w:val="0"/>
          <w:numId w:val="2"/>
        </w:numPr>
      </w:pPr>
      <w:r>
        <w:t>Serenje: 36 months (</w:t>
      </w:r>
      <w:r w:rsidRPr="004407A5">
        <w:t>Nov 1 - 11</w:t>
      </w:r>
      <w:r>
        <w:t>, 2023)</w:t>
      </w:r>
    </w:p>
    <w:p w14:paraId="4B38DB0C" w14:textId="070DAF21" w:rsidR="00C12A95" w:rsidRDefault="00085268" w:rsidP="00840613">
      <w:pPr>
        <w:pStyle w:val="1-BodyText"/>
        <w:numPr>
          <w:ilvl w:val="0"/>
          <w:numId w:val="2"/>
        </w:numPr>
        <w:rPr>
          <w:rFonts w:ascii="Gill Sans" w:hAnsi="Gill Sans"/>
          <w:color w:val="000000"/>
        </w:rPr>
      </w:pPr>
      <w:r>
        <w:t xml:space="preserve">Nyimba: </w:t>
      </w:r>
      <w:r w:rsidR="00EA0314">
        <w:t>36</w:t>
      </w:r>
      <w:r>
        <w:t xml:space="preserve"> months (Feb 1</w:t>
      </w:r>
      <w:r w:rsidR="00EA0314">
        <w:t>2</w:t>
      </w:r>
      <w:r>
        <w:t xml:space="preserve"> – 20, 202</w:t>
      </w:r>
      <w:r w:rsidR="00404833">
        <w:t>4</w:t>
      </w:r>
      <w:r>
        <w:t>)</w:t>
      </w:r>
    </w:p>
    <w:p w14:paraId="19886804" w14:textId="24B51630" w:rsidR="00A0279A" w:rsidRDefault="00D0770C" w:rsidP="00404416">
      <w:pPr>
        <w:pStyle w:val="Heading2"/>
        <w:ind w:left="720" w:hanging="720"/>
      </w:pPr>
      <w:r>
        <w:t xml:space="preserve">Study Site Locations Within </w:t>
      </w:r>
      <w:r w:rsidR="000D2C52">
        <w:t>Zambia</w:t>
      </w:r>
    </w:p>
    <w:p w14:paraId="5029974C" w14:textId="669E19CC" w:rsidR="00404416" w:rsidRPr="00404416" w:rsidRDefault="00404416" w:rsidP="00404416">
      <w:r>
        <w:rPr>
          <w:noProof/>
        </w:rPr>
        <w:drawing>
          <wp:inline distT="0" distB="0" distL="0" distR="0" wp14:anchorId="5A50831F" wp14:editId="7E32693D">
            <wp:extent cx="6537600" cy="3600000"/>
            <wp:effectExtent l="0" t="0" r="0" b="635"/>
            <wp:docPr id="322165358" name="Picture 322165358" descr="A map of the state of af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65358" name="Picture 322165358" descr="A map of the state of africa&#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37600" cy="3600000"/>
                    </a:xfrm>
                    <a:prstGeom prst="rect">
                      <a:avLst/>
                    </a:prstGeom>
                    <a:noFill/>
                  </pic:spPr>
                </pic:pic>
              </a:graphicData>
            </a:graphic>
          </wp:inline>
        </w:drawing>
      </w:r>
    </w:p>
    <w:p w14:paraId="55CA38DB" w14:textId="77777777" w:rsidR="00404416" w:rsidRDefault="00404416">
      <w:pPr>
        <w:spacing w:line="259" w:lineRule="auto"/>
      </w:pPr>
    </w:p>
    <w:p w14:paraId="4B38DB0E" w14:textId="6EFC411E" w:rsidR="00C12A95" w:rsidRDefault="00D0770C">
      <w:pPr>
        <w:spacing w:line="259" w:lineRule="auto"/>
        <w:rPr>
          <w:rFonts w:ascii="Gill Sans" w:hAnsi="Gill Sans"/>
          <w:color w:val="002A6C"/>
          <w:sz w:val="32"/>
          <w:szCs w:val="32"/>
        </w:rPr>
      </w:pPr>
      <w:r w:rsidRPr="00404416">
        <w:br w:type="page"/>
      </w:r>
    </w:p>
    <w:p w14:paraId="4B38DB0F" w14:textId="77777777" w:rsidR="00C12A95" w:rsidRDefault="00D0770C">
      <w:pPr>
        <w:pStyle w:val="Heading2"/>
        <w:ind w:left="720" w:hanging="720"/>
      </w:pPr>
      <w:r>
        <w:lastRenderedPageBreak/>
        <w:t>Key Results</w:t>
      </w:r>
    </w:p>
    <w:p w14:paraId="769143E6" w14:textId="7E5DAADF" w:rsidR="004A302F" w:rsidRDefault="00FF5D91" w:rsidP="00AF69ED">
      <w:pPr>
        <w:pStyle w:val="1-BodyText"/>
        <w:jc w:val="both"/>
      </w:pPr>
      <w:r w:rsidRPr="00D401B1">
        <w:t xml:space="preserve">ITN attrition </w:t>
      </w:r>
      <w:r>
        <w:t>was</w:t>
      </w:r>
      <w:r w:rsidRPr="00D401B1">
        <w:t xml:space="preserve"> </w:t>
      </w:r>
      <w:r>
        <w:t>similar</w:t>
      </w:r>
      <w:r w:rsidRPr="00D401B1">
        <w:t xml:space="preserve"> in both districts at </w:t>
      </w:r>
      <w:r>
        <w:t>36</w:t>
      </w:r>
      <w:r w:rsidRPr="00D401B1">
        <w:t xml:space="preserve"> months</w:t>
      </w:r>
      <w:r>
        <w:t xml:space="preserve"> (74</w:t>
      </w:r>
      <w:r w:rsidRPr="00D401B1">
        <w:t xml:space="preserve">% in Nyimba and </w:t>
      </w:r>
      <w:r>
        <w:t>72</w:t>
      </w:r>
      <w:r w:rsidRPr="00D401B1">
        <w:t>% in Serenje</w:t>
      </w:r>
      <w:r>
        <w:t>)</w:t>
      </w:r>
      <w:r w:rsidRPr="00D401B1">
        <w:t xml:space="preserve">, </w:t>
      </w:r>
      <w:r>
        <w:t xml:space="preserve">driven primarily by nets being given away to others </w:t>
      </w:r>
      <w:r w:rsidRPr="00D401B1">
        <w:t>(4</w:t>
      </w:r>
      <w:r>
        <w:t>9</w:t>
      </w:r>
      <w:r w:rsidRPr="00D401B1">
        <w:t>% in Nyimba and 4</w:t>
      </w:r>
      <w:r>
        <w:t>7</w:t>
      </w:r>
      <w:r w:rsidRPr="00D401B1">
        <w:t>% in Serenje)</w:t>
      </w:r>
      <w:r>
        <w:t>, and due to wear and tear (discarded) (24</w:t>
      </w:r>
      <w:r w:rsidRPr="00D401B1">
        <w:t xml:space="preserve">% in Nyimba and </w:t>
      </w:r>
      <w:r>
        <w:t>23</w:t>
      </w:r>
      <w:r w:rsidRPr="00D401B1">
        <w:t>% in Serenje)</w:t>
      </w:r>
      <w:r>
        <w:t>.</w:t>
      </w:r>
      <w:r w:rsidRPr="00D401B1">
        <w:t xml:space="preserve"> However, the proportion of cohort nets in serviceable condition was significantly lower in Nyimba compared to Serenje (</w:t>
      </w:r>
      <w:r>
        <w:t>52</w:t>
      </w:r>
      <w:r w:rsidRPr="00D401B1">
        <w:t>% versus 9</w:t>
      </w:r>
      <w:r>
        <w:t>0</w:t>
      </w:r>
      <w:r w:rsidRPr="00D401B1">
        <w:t>%</w:t>
      </w:r>
      <w:r w:rsidR="00D20684">
        <w:t>;</w:t>
      </w:r>
      <w:r w:rsidRPr="00D401B1">
        <w:t xml:space="preserve"> p&lt;0.001)</w:t>
      </w:r>
      <w:r w:rsidR="001A5644">
        <w:t>.</w:t>
      </w:r>
      <w:r w:rsidR="0050106A" w:rsidRPr="0050106A">
        <w:t xml:space="preserve"> </w:t>
      </w:r>
      <w:r w:rsidR="0050106A" w:rsidRPr="003C125F">
        <w:t>Additionally, the proportion of cohort nets that survived in serviceable condition at 36 months was significantly lower in Nyimba compared to Serenje (26% versus 47%, p=0.015).</w:t>
      </w:r>
      <w:r w:rsidR="0079780F">
        <w:t xml:space="preserve"> </w:t>
      </w:r>
      <w:r w:rsidR="002C44D8" w:rsidRPr="002C44D8">
        <w:t xml:space="preserve">In Serenje, a </w:t>
      </w:r>
      <w:r w:rsidR="004238F1">
        <w:t xml:space="preserve">significantly </w:t>
      </w:r>
      <w:r w:rsidR="002C44D8" w:rsidRPr="002C44D8">
        <w:t xml:space="preserve">higher proportion of cohort ITNs were observed hanging over sleeping spaces (tied or untied) compared to Nyimba (68% versus 48%, p=0.004). </w:t>
      </w:r>
      <w:r w:rsidR="004A302F">
        <w:t xml:space="preserve"> </w:t>
      </w:r>
    </w:p>
    <w:p w14:paraId="37ABF634" w14:textId="5AB633E1" w:rsidR="00581F70" w:rsidRDefault="00AF73EF" w:rsidP="00AF69ED">
      <w:pPr>
        <w:pStyle w:val="1-BodyText"/>
        <w:jc w:val="both"/>
      </w:pPr>
      <w:r>
        <w:t xml:space="preserve">Mean PBO content </w:t>
      </w:r>
      <w:r w:rsidR="002A7D5B">
        <w:t xml:space="preserve">for Olyset® Plus ITNs </w:t>
      </w:r>
      <w:r>
        <w:t xml:space="preserve">was </w:t>
      </w:r>
      <w:r w:rsidR="00EB0C22">
        <w:t>never</w:t>
      </w:r>
      <w:r>
        <w:t xml:space="preserve"> </w:t>
      </w:r>
      <w:r w:rsidR="002A7D5B">
        <w:t>measured</w:t>
      </w:r>
      <w:r w:rsidR="00EB0C22">
        <w:t xml:space="preserve"> </w:t>
      </w:r>
      <w:r>
        <w:t>within the manufacturer’s target dose (</w:t>
      </w:r>
      <w:r w:rsidR="002F1F45">
        <w:t>10 g/kg ±</w:t>
      </w:r>
      <w:r w:rsidR="002A7D5B">
        <w:t>25%)</w:t>
      </w:r>
      <w:r w:rsidR="002F1F45">
        <w:t xml:space="preserve"> </w:t>
      </w:r>
      <w:r w:rsidR="00C3117A">
        <w:t>during</w:t>
      </w:r>
      <w:r w:rsidR="002F1F45">
        <w:t xml:space="preserve"> any </w:t>
      </w:r>
      <w:r w:rsidR="00EB0C22">
        <w:t>study round</w:t>
      </w:r>
      <w:r w:rsidR="00C3117A">
        <w:t>,</w:t>
      </w:r>
      <w:r w:rsidR="00557575">
        <w:t xml:space="preserve"> including baseline</w:t>
      </w:r>
      <w:r w:rsidR="00EB0C22">
        <w:t>.</w:t>
      </w:r>
      <w:r w:rsidR="00BB0527">
        <w:t xml:space="preserve"> </w:t>
      </w:r>
      <w:r w:rsidR="00C3117A">
        <w:t>At endline,</w:t>
      </w:r>
      <w:r w:rsidR="00FC5B21">
        <w:t xml:space="preserve"> mean PBO content </w:t>
      </w:r>
      <w:r w:rsidR="00C0777D">
        <w:t>was measured at 1.7 g/kg,</w:t>
      </w:r>
      <w:r w:rsidR="00FC5B21">
        <w:t xml:space="preserve"> </w:t>
      </w:r>
      <w:r w:rsidR="0042096D">
        <w:t>a reduction of</w:t>
      </w:r>
      <w:r w:rsidR="00527AA6">
        <w:t xml:space="preserve"> 83% compared to th</w:t>
      </w:r>
      <w:r w:rsidR="00142FF0">
        <w:t>e</w:t>
      </w:r>
      <w:r w:rsidR="00527AA6">
        <w:t xml:space="preserve"> target dose. Mean PBO content for Veeralin® ITNs </w:t>
      </w:r>
      <w:r w:rsidR="00446C4E">
        <w:t>fell below the manufacturer’s target dose</w:t>
      </w:r>
      <w:r w:rsidR="00142FF0">
        <w:t xml:space="preserve"> (2.2 g/kg ±25%)</w:t>
      </w:r>
      <w:r w:rsidR="00446C4E">
        <w:t xml:space="preserve"> after the 24-month survey round</w:t>
      </w:r>
      <w:r w:rsidR="006B4AC2">
        <w:t xml:space="preserve">. By study endline, </w:t>
      </w:r>
      <w:r w:rsidR="00142FF0">
        <w:t xml:space="preserve">PBO content </w:t>
      </w:r>
      <w:r w:rsidR="00E70CFA">
        <w:t>was measured at 1.0 g/kg, a reduction of</w:t>
      </w:r>
      <w:r w:rsidR="00142FF0">
        <w:t xml:space="preserve"> 55% compared to the target dose.</w:t>
      </w:r>
      <w:r w:rsidR="00C3117A">
        <w:t xml:space="preserve"> </w:t>
      </w:r>
      <w:r w:rsidR="00094838">
        <w:t>While 24-hour mortality</w:t>
      </w:r>
      <w:r w:rsidR="00B21BAF">
        <w:t xml:space="preserve"> </w:t>
      </w:r>
      <w:r w:rsidR="00E36BF5">
        <w:t>in field ITN samples was low</w:t>
      </w:r>
      <w:r w:rsidR="00BB688B">
        <w:t xml:space="preserve"> for both brands</w:t>
      </w:r>
      <w:r w:rsidR="00E36BF5">
        <w:t xml:space="preserve"> at study endl</w:t>
      </w:r>
      <w:r w:rsidR="00A47B21">
        <w:t>ine</w:t>
      </w:r>
      <w:r w:rsidR="00E36BF5">
        <w:t xml:space="preserve"> </w:t>
      </w:r>
      <w:r w:rsidR="00B21BAF">
        <w:t>against the resistant</w:t>
      </w:r>
      <w:r w:rsidR="00A47B21">
        <w:t xml:space="preserve"> strain</w:t>
      </w:r>
      <w:r w:rsidR="00241DAC">
        <w:t>,</w:t>
      </w:r>
      <w:r w:rsidR="00B21BAF">
        <w:t xml:space="preserve"> (Olyset® Plus: 19%; Veeralin®: 20%), </w:t>
      </w:r>
      <w:r w:rsidR="00E36BF5">
        <w:t>KD60</w:t>
      </w:r>
      <w:r w:rsidR="00783C87">
        <w:t xml:space="preserve"> stayed at </w:t>
      </w:r>
      <w:r w:rsidR="00241DAC">
        <w:t>100%</w:t>
      </w:r>
      <w:r w:rsidR="008A6C5B">
        <w:t xml:space="preserve"> across </w:t>
      </w:r>
      <w:r w:rsidR="0056428F">
        <w:t>brands and</w:t>
      </w:r>
      <w:r w:rsidR="008A6C5B">
        <w:t xml:space="preserve"> study rounds</w:t>
      </w:r>
      <w:r w:rsidR="00FB0DF5">
        <w:t>. While the 24-hour mortality rates for both ITN brands showed a slight increase from the 24-month to the 36-month survey rounds, the overlapping confidence intervals indicate the difference</w:t>
      </w:r>
      <w:r w:rsidR="00FF30CE">
        <w:t xml:space="preserve"> between rounds</w:t>
      </w:r>
      <w:r w:rsidR="00FB0DF5">
        <w:t xml:space="preserve"> was not statistically significant.</w:t>
      </w:r>
    </w:p>
    <w:p w14:paraId="78E3ED56" w14:textId="1F1B2171" w:rsidR="00FC746D" w:rsidRDefault="00FB0DF5" w:rsidP="00AF69ED">
      <w:pPr>
        <w:pStyle w:val="1-BodyText"/>
        <w:jc w:val="both"/>
      </w:pPr>
      <w:r w:rsidRPr="00610465">
        <w:t>This is the first completed PMI Evolve-supported durability monitoring study to include Veeralin® ITNs, which precludes comparison of their field performance to other study sites.</w:t>
      </w:r>
      <w:r>
        <w:t xml:space="preserve"> </w:t>
      </w:r>
      <w:r w:rsidR="005A1E81">
        <w:t>Olyset® Plus ITNs were studied</w:t>
      </w:r>
      <w:r w:rsidR="00CA3878">
        <w:t xml:space="preserve"> with PMI Evolve support</w:t>
      </w:r>
      <w:r w:rsidR="005A1E81">
        <w:t xml:space="preserve"> in </w:t>
      </w:r>
      <w:r w:rsidR="00F600EF">
        <w:t>Sierra Leone</w:t>
      </w:r>
      <w:r w:rsidR="00CA3878">
        <w:t xml:space="preserve"> </w:t>
      </w:r>
      <w:r w:rsidR="008C3DED">
        <w:t>from</w:t>
      </w:r>
      <w:r w:rsidR="00CA3878">
        <w:t xml:space="preserve"> 20</w:t>
      </w:r>
      <w:r w:rsidR="008C3DED">
        <w:t>20</w:t>
      </w:r>
      <w:r w:rsidR="00CA3878">
        <w:t xml:space="preserve"> </w:t>
      </w:r>
      <w:r w:rsidR="008C3DED">
        <w:t>to</w:t>
      </w:r>
      <w:r w:rsidR="00CA3878">
        <w:t xml:space="preserve"> 2023</w:t>
      </w:r>
      <w:r w:rsidR="00F600EF">
        <w:t xml:space="preserve">. </w:t>
      </w:r>
      <w:r w:rsidR="008359E0">
        <w:t>While reductions</w:t>
      </w:r>
      <w:r>
        <w:t xml:space="preserve"> in</w:t>
      </w:r>
      <w:r w:rsidR="000279AF">
        <w:t xml:space="preserve"> </w:t>
      </w:r>
      <w:r w:rsidR="008359E0">
        <w:t xml:space="preserve">mean PBO content at endline were </w:t>
      </w:r>
      <w:r w:rsidR="00B312C5">
        <w:t>slightly greater</w:t>
      </w:r>
      <w:r w:rsidR="008359E0">
        <w:t xml:space="preserve"> in Zambia (83% compared to 77% in Sierra Leone), 24-hour mortality against the resistant strain was higher in Zambia (</w:t>
      </w:r>
      <w:r w:rsidR="003B3DCD">
        <w:t>19% compared to just 2% in Sierra Leone)</w:t>
      </w:r>
      <w:r w:rsidR="000279AF">
        <w:t>.</w:t>
      </w:r>
      <w:r w:rsidR="002E5175">
        <w:rPr>
          <w:rStyle w:val="FootnoteReference"/>
        </w:rPr>
        <w:footnoteReference w:id="2"/>
      </w:r>
      <w:r w:rsidR="003B3DCD">
        <w:t xml:space="preserve"> </w:t>
      </w:r>
      <w:r w:rsidR="00F926EE">
        <w:t xml:space="preserve">In a recently published study in Tanzania, </w:t>
      </w:r>
      <w:r w:rsidR="00782ECE">
        <w:t>24-hour</w:t>
      </w:r>
      <w:r w:rsidR="00F926EE">
        <w:t xml:space="preserve"> mortality </w:t>
      </w:r>
      <w:r w:rsidR="00804ECF">
        <w:t>for</w:t>
      </w:r>
      <w:r w:rsidR="00782ECE">
        <w:t xml:space="preserve"> 36-month ITN samples against </w:t>
      </w:r>
      <w:r w:rsidR="00804ECF">
        <w:t xml:space="preserve">a </w:t>
      </w:r>
      <w:r w:rsidR="00782ECE">
        <w:t xml:space="preserve">resistant </w:t>
      </w:r>
      <w:r w:rsidR="00804ECF">
        <w:t>strain</w:t>
      </w:r>
      <w:r w:rsidR="00782ECE">
        <w:t xml:space="preserve"> was 5%</w:t>
      </w:r>
      <w:r w:rsidR="000279AF">
        <w:t>.</w:t>
      </w:r>
      <w:r w:rsidR="00613ECC">
        <w:rPr>
          <w:rStyle w:val="FootnoteReference"/>
        </w:rPr>
        <w:footnoteReference w:id="3"/>
      </w:r>
    </w:p>
    <w:p w14:paraId="1AAB8E92" w14:textId="0CE2E364" w:rsidR="00C215D2" w:rsidRDefault="00FF30CE" w:rsidP="00C215D2">
      <w:r>
        <w:t xml:space="preserve">The </w:t>
      </w:r>
      <w:r w:rsidR="004C47B4">
        <w:t>WHO recommendations remain for country programs to conditionally prioritize new net types</w:t>
      </w:r>
      <w:r w:rsidR="00232872">
        <w:t xml:space="preserve"> in areas where pyrethroid resistance has been detected</w:t>
      </w:r>
      <w:r w:rsidR="007B72A2">
        <w:t>.</w:t>
      </w:r>
      <w:r w:rsidR="00232872">
        <w:rPr>
          <w:rStyle w:val="FootnoteReference"/>
        </w:rPr>
        <w:footnoteReference w:id="4"/>
      </w:r>
      <w:r w:rsidR="00232872">
        <w:t xml:space="preserve"> </w:t>
      </w:r>
      <w:r w:rsidR="00FB0DF5" w:rsidRPr="00513333">
        <w:t xml:space="preserve">The results from this study should be considered by decision-makers when procuring and deploying </w:t>
      </w:r>
      <w:r w:rsidR="00FB0DF5">
        <w:t>ITNs</w:t>
      </w:r>
      <w:r w:rsidR="00FB0DF5" w:rsidRPr="00513333">
        <w:t xml:space="preserve"> in </w:t>
      </w:r>
      <w:r w:rsidR="00FB0DF5">
        <w:t>Zambia.</w:t>
      </w:r>
      <w:r w:rsidR="007E73FD">
        <w:br w:type="page"/>
      </w:r>
    </w:p>
    <w:tbl>
      <w:tblPr>
        <w:tblW w:w="11308" w:type="dxa"/>
        <w:jc w:val="center"/>
        <w:tblLayout w:type="fixed"/>
        <w:tblCellMar>
          <w:left w:w="115" w:type="dxa"/>
          <w:right w:w="115" w:type="dxa"/>
        </w:tblCellMar>
        <w:tblLook w:val="0400" w:firstRow="0" w:lastRow="0" w:firstColumn="0" w:lastColumn="0" w:noHBand="0" w:noVBand="1"/>
      </w:tblPr>
      <w:tblGrid>
        <w:gridCol w:w="1888"/>
        <w:gridCol w:w="1442"/>
        <w:gridCol w:w="897"/>
        <w:gridCol w:w="1618"/>
        <w:gridCol w:w="1025"/>
        <w:gridCol w:w="875"/>
        <w:gridCol w:w="1975"/>
        <w:gridCol w:w="1588"/>
      </w:tblGrid>
      <w:tr w:rsidR="005E3076" w:rsidRPr="005E3076" w14:paraId="4B38DB1C" w14:textId="77777777" w:rsidTr="005E3076">
        <w:trPr>
          <w:trHeight w:val="160"/>
          <w:tblHeader/>
          <w:jc w:val="center"/>
        </w:trPr>
        <w:tc>
          <w:tcPr>
            <w:tcW w:w="1888" w:type="dxa"/>
            <w:vMerge w:val="restart"/>
            <w:tcBorders>
              <w:top w:val="single" w:sz="8" w:space="0" w:color="000000" w:themeColor="text1"/>
              <w:left w:val="nil"/>
              <w:bottom w:val="single" w:sz="8" w:space="0" w:color="000000" w:themeColor="text1"/>
              <w:right w:val="single" w:sz="4" w:space="0" w:color="auto"/>
            </w:tcBorders>
            <w:shd w:val="clear" w:color="auto" w:fill="0067B9"/>
          </w:tcPr>
          <w:p w14:paraId="4B38DB12" w14:textId="46CE3142" w:rsidR="00A97DFB" w:rsidRDefault="00A97DFB" w:rsidP="00DD37B8">
            <w:pPr>
              <w:spacing w:after="0"/>
              <w:jc w:val="center"/>
              <w:rPr>
                <w:b/>
                <w:color w:val="FFFFFF"/>
                <w:sz w:val="20"/>
                <w:szCs w:val="20"/>
              </w:rPr>
            </w:pPr>
            <w:r>
              <w:rPr>
                <w:b/>
                <w:color w:val="FFFFFF"/>
                <w:sz w:val="20"/>
                <w:szCs w:val="20"/>
              </w:rPr>
              <w:lastRenderedPageBreak/>
              <w:t>Site</w:t>
            </w:r>
          </w:p>
        </w:tc>
        <w:tc>
          <w:tcPr>
            <w:tcW w:w="1442"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0067B9"/>
          </w:tcPr>
          <w:p w14:paraId="4B38DB13" w14:textId="77777777" w:rsidR="00A97DFB" w:rsidRDefault="00A97DFB" w:rsidP="00A97DFB">
            <w:pPr>
              <w:spacing w:after="0"/>
              <w:jc w:val="center"/>
              <w:rPr>
                <w:b/>
                <w:color w:val="FFFFFF"/>
                <w:sz w:val="20"/>
                <w:szCs w:val="20"/>
              </w:rPr>
            </w:pPr>
            <w:r>
              <w:rPr>
                <w:b/>
                <w:color w:val="FFFFFF"/>
                <w:sz w:val="20"/>
                <w:szCs w:val="20"/>
              </w:rPr>
              <w:t>Survey round and time since distribution (months)</w:t>
            </w:r>
          </w:p>
        </w:tc>
        <w:tc>
          <w:tcPr>
            <w:tcW w:w="897"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0067B9"/>
          </w:tcPr>
          <w:p w14:paraId="4B38DB14" w14:textId="3229E7EA" w:rsidR="00A97DFB" w:rsidRDefault="00A97DFB" w:rsidP="00A97DFB">
            <w:pPr>
              <w:spacing w:after="0"/>
              <w:jc w:val="center"/>
              <w:rPr>
                <w:b/>
                <w:color w:val="FFFFFF"/>
                <w:sz w:val="20"/>
                <w:szCs w:val="20"/>
              </w:rPr>
            </w:pPr>
            <w:r>
              <w:rPr>
                <w:b/>
                <w:color w:val="FFFFFF"/>
                <w:sz w:val="20"/>
                <w:szCs w:val="20"/>
              </w:rPr>
              <w:t>Attrition wear and tear</w:t>
            </w:r>
          </w:p>
          <w:p w14:paraId="4B38DB15" w14:textId="77777777" w:rsidR="00A97DFB" w:rsidRDefault="00A97DFB" w:rsidP="00A97DFB">
            <w:pPr>
              <w:spacing w:after="0"/>
              <w:jc w:val="center"/>
              <w:rPr>
                <w:b/>
                <w:color w:val="FFFFFF"/>
                <w:sz w:val="20"/>
                <w:szCs w:val="20"/>
              </w:rPr>
            </w:pPr>
            <w:r>
              <w:rPr>
                <w:b/>
                <w:color w:val="FFFFFF"/>
                <w:sz w:val="20"/>
                <w:szCs w:val="20"/>
              </w:rPr>
              <w:t>(%)</w:t>
            </w:r>
          </w:p>
        </w:tc>
        <w:tc>
          <w:tcPr>
            <w:tcW w:w="1618" w:type="dxa"/>
            <w:vMerge w:val="restart"/>
            <w:tcBorders>
              <w:top w:val="single" w:sz="8" w:space="0" w:color="000000" w:themeColor="text1"/>
              <w:left w:val="single" w:sz="4" w:space="0" w:color="auto"/>
              <w:right w:val="single" w:sz="8" w:space="0" w:color="000000" w:themeColor="text1"/>
            </w:tcBorders>
            <w:shd w:val="clear" w:color="auto" w:fill="0067B9"/>
          </w:tcPr>
          <w:p w14:paraId="020C78D8" w14:textId="77777777" w:rsidR="00A97DFB" w:rsidRDefault="00A97DFB" w:rsidP="00A97DFB">
            <w:pPr>
              <w:spacing w:after="0"/>
              <w:jc w:val="center"/>
              <w:rPr>
                <w:b/>
                <w:color w:val="FFFFFF"/>
                <w:sz w:val="20"/>
                <w:szCs w:val="20"/>
              </w:rPr>
            </w:pPr>
            <w:r>
              <w:rPr>
                <w:b/>
                <w:color w:val="FFFFFF"/>
                <w:sz w:val="20"/>
                <w:szCs w:val="20"/>
              </w:rPr>
              <w:t>Remaining nets in serviceable condition</w:t>
            </w:r>
          </w:p>
          <w:p w14:paraId="4B38DB17" w14:textId="33849E1B" w:rsidR="00A97DFB" w:rsidRDefault="00A97DFB" w:rsidP="00A97DFB">
            <w:pPr>
              <w:spacing w:after="0"/>
              <w:jc w:val="center"/>
              <w:rPr>
                <w:b/>
                <w:color w:val="FFFFFF"/>
                <w:sz w:val="20"/>
                <w:szCs w:val="20"/>
              </w:rPr>
            </w:pPr>
            <w:r>
              <w:rPr>
                <w:b/>
                <w:color w:val="FFFFFF"/>
                <w:sz w:val="20"/>
                <w:szCs w:val="20"/>
              </w:rPr>
              <w:t>%(N)</w:t>
            </w:r>
          </w:p>
        </w:tc>
        <w:tc>
          <w:tcPr>
            <w:tcW w:w="1900" w:type="dxa"/>
            <w:gridSpan w:val="2"/>
            <w:tcBorders>
              <w:top w:val="single" w:sz="8" w:space="0" w:color="000000" w:themeColor="text1"/>
              <w:left w:val="nil"/>
              <w:bottom w:val="single" w:sz="8" w:space="0" w:color="000000" w:themeColor="text1"/>
              <w:right w:val="single" w:sz="8" w:space="0" w:color="000000" w:themeColor="text1"/>
            </w:tcBorders>
            <w:shd w:val="clear" w:color="auto" w:fill="0067B9"/>
          </w:tcPr>
          <w:p w14:paraId="4B38DB18" w14:textId="77777777" w:rsidR="00A97DFB" w:rsidRDefault="00A97DFB" w:rsidP="00A97DFB">
            <w:pPr>
              <w:spacing w:after="0"/>
              <w:jc w:val="center"/>
              <w:rPr>
                <w:b/>
                <w:color w:val="FFFFFF"/>
                <w:sz w:val="20"/>
                <w:szCs w:val="20"/>
              </w:rPr>
            </w:pPr>
            <w:r>
              <w:rPr>
                <w:b/>
                <w:color w:val="FFFFFF"/>
                <w:sz w:val="20"/>
                <w:szCs w:val="20"/>
              </w:rPr>
              <w:t>Remaining nets hanging over sleeping space (%)</w:t>
            </w:r>
          </w:p>
        </w:tc>
        <w:tc>
          <w:tcPr>
            <w:tcW w:w="1975" w:type="dxa"/>
            <w:vMerge w:val="restart"/>
            <w:tcBorders>
              <w:top w:val="single" w:sz="8" w:space="0" w:color="000000" w:themeColor="text1"/>
              <w:left w:val="single" w:sz="8" w:space="0" w:color="000000" w:themeColor="text1"/>
              <w:bottom w:val="single" w:sz="8" w:space="0" w:color="000000" w:themeColor="text1"/>
              <w:right w:val="single" w:sz="4" w:space="0" w:color="auto"/>
            </w:tcBorders>
            <w:shd w:val="clear" w:color="auto" w:fill="0067B9"/>
          </w:tcPr>
          <w:p w14:paraId="4B38DB19" w14:textId="41477416" w:rsidR="00A97DFB" w:rsidRDefault="00A97DFB" w:rsidP="00A97DFB">
            <w:pPr>
              <w:spacing w:after="0"/>
              <w:jc w:val="center"/>
              <w:rPr>
                <w:b/>
                <w:color w:val="FFFFFF"/>
                <w:sz w:val="20"/>
                <w:szCs w:val="20"/>
              </w:rPr>
            </w:pPr>
            <w:r>
              <w:rPr>
                <w:b/>
                <w:color w:val="FFFFFF"/>
                <w:sz w:val="20"/>
                <w:szCs w:val="20"/>
              </w:rPr>
              <w:t>24– hour mortality against resistant mosquito strain</w:t>
            </w:r>
            <w:r w:rsidRPr="00063345">
              <w:rPr>
                <w:b/>
                <w:color w:val="FFFFFF"/>
                <w:sz w:val="20"/>
                <w:szCs w:val="20"/>
                <w:vertAlign w:val="superscript"/>
              </w:rPr>
              <w:t>γ</w:t>
            </w:r>
          </w:p>
          <w:p w14:paraId="4B38DB1A" w14:textId="2C6B559D" w:rsidR="00A97DFB" w:rsidRDefault="00A97DFB" w:rsidP="00A97DFB">
            <w:pPr>
              <w:spacing w:after="0"/>
              <w:jc w:val="center"/>
              <w:rPr>
                <w:b/>
                <w:color w:val="FFFFFF"/>
                <w:sz w:val="20"/>
                <w:szCs w:val="20"/>
              </w:rPr>
            </w:pPr>
            <w:r>
              <w:rPr>
                <w:b/>
                <w:color w:val="FFFFFF"/>
                <w:sz w:val="20"/>
                <w:szCs w:val="20"/>
              </w:rPr>
              <w:t>% (95% CI)</w:t>
            </w:r>
          </w:p>
        </w:tc>
        <w:tc>
          <w:tcPr>
            <w:tcW w:w="1588" w:type="dxa"/>
            <w:vMerge w:val="restart"/>
            <w:tcBorders>
              <w:top w:val="single" w:sz="8" w:space="0" w:color="000000" w:themeColor="text1"/>
              <w:left w:val="single" w:sz="4" w:space="0" w:color="auto"/>
              <w:right w:val="nil"/>
            </w:tcBorders>
            <w:shd w:val="clear" w:color="auto" w:fill="0067B9"/>
          </w:tcPr>
          <w:p w14:paraId="33443758" w14:textId="77777777" w:rsidR="00A97DFB" w:rsidRPr="005E3076" w:rsidRDefault="00000000" w:rsidP="00A97DFB">
            <w:pPr>
              <w:spacing w:after="0"/>
              <w:jc w:val="center"/>
              <w:rPr>
                <w:b/>
                <w:color w:val="FFFFFF"/>
                <w:sz w:val="20"/>
                <w:szCs w:val="20"/>
                <w:lang w:val="fr-FR"/>
              </w:rPr>
            </w:pPr>
            <w:sdt>
              <w:sdtPr>
                <w:tag w:val="goog_rdk_8"/>
                <w:id w:val="-382407114"/>
              </w:sdtPr>
              <w:sdtContent/>
            </w:sdt>
            <w:r w:rsidR="00A97DFB" w:rsidRPr="005E3076">
              <w:rPr>
                <w:b/>
                <w:color w:val="FFFFFF"/>
                <w:sz w:val="20"/>
                <w:szCs w:val="20"/>
                <w:lang w:val="fr-FR"/>
              </w:rPr>
              <w:t>Chemical content</w:t>
            </w:r>
          </w:p>
          <w:p w14:paraId="4B38DB1B" w14:textId="3F6090B9" w:rsidR="00A97DFB" w:rsidRPr="005E3076" w:rsidRDefault="009B234F" w:rsidP="00A97DFB">
            <w:pPr>
              <w:spacing w:after="0"/>
              <w:jc w:val="center"/>
              <w:rPr>
                <w:b/>
                <w:color w:val="FFFFFF"/>
                <w:sz w:val="20"/>
                <w:szCs w:val="20"/>
                <w:lang w:val="fr-FR"/>
              </w:rPr>
            </w:pPr>
            <w:r w:rsidRPr="005E3076">
              <w:rPr>
                <w:b/>
                <w:color w:val="FFFFFF"/>
                <w:sz w:val="20"/>
                <w:szCs w:val="20"/>
                <w:lang w:val="fr-FR"/>
              </w:rPr>
              <w:t xml:space="preserve">g/kg </w:t>
            </w:r>
            <w:r w:rsidR="00A97DFB" w:rsidRPr="005E3076">
              <w:rPr>
                <w:b/>
                <w:color w:val="FFFFFF"/>
                <w:sz w:val="20"/>
                <w:szCs w:val="20"/>
                <w:lang w:val="fr-FR"/>
              </w:rPr>
              <w:t>(95% CI)</w:t>
            </w:r>
          </w:p>
        </w:tc>
      </w:tr>
      <w:tr w:rsidR="00A97DFB" w14:paraId="4B38DB25" w14:textId="77777777" w:rsidTr="000935E9">
        <w:trPr>
          <w:trHeight w:val="40"/>
          <w:jc w:val="center"/>
        </w:trPr>
        <w:tc>
          <w:tcPr>
            <w:tcW w:w="1888" w:type="dxa"/>
            <w:vMerge/>
            <w:tcBorders>
              <w:bottom w:val="single" w:sz="4" w:space="0" w:color="auto"/>
              <w:right w:val="single" w:sz="4" w:space="0" w:color="auto"/>
            </w:tcBorders>
          </w:tcPr>
          <w:p w14:paraId="4B38DB1D" w14:textId="77777777" w:rsidR="00A97DFB" w:rsidRPr="005E3076" w:rsidRDefault="00A97DFB" w:rsidP="00A97DFB">
            <w:pPr>
              <w:widowControl w:val="0"/>
              <w:pBdr>
                <w:top w:val="nil"/>
                <w:left w:val="nil"/>
                <w:bottom w:val="nil"/>
                <w:right w:val="nil"/>
                <w:between w:val="nil"/>
              </w:pBdr>
              <w:spacing w:after="0" w:line="276" w:lineRule="auto"/>
              <w:jc w:val="center"/>
              <w:rPr>
                <w:b/>
                <w:color w:val="FFFFFF"/>
                <w:sz w:val="20"/>
                <w:szCs w:val="20"/>
                <w:lang w:val="fr-FR"/>
              </w:rPr>
            </w:pPr>
          </w:p>
        </w:tc>
        <w:tc>
          <w:tcPr>
            <w:tcW w:w="1442" w:type="dxa"/>
            <w:vMerge/>
            <w:tcBorders>
              <w:left w:val="single" w:sz="4" w:space="0" w:color="auto"/>
              <w:bottom w:val="single" w:sz="4" w:space="0" w:color="auto"/>
              <w:right w:val="single" w:sz="4" w:space="0" w:color="auto"/>
            </w:tcBorders>
          </w:tcPr>
          <w:p w14:paraId="4B38DB1E" w14:textId="77777777" w:rsidR="00A97DFB" w:rsidRPr="005E3076" w:rsidRDefault="00A97DFB" w:rsidP="00A97DFB">
            <w:pPr>
              <w:widowControl w:val="0"/>
              <w:pBdr>
                <w:top w:val="nil"/>
                <w:left w:val="nil"/>
                <w:bottom w:val="nil"/>
                <w:right w:val="nil"/>
                <w:between w:val="nil"/>
              </w:pBdr>
              <w:spacing w:after="0" w:line="276" w:lineRule="auto"/>
              <w:jc w:val="center"/>
              <w:rPr>
                <w:b/>
                <w:color w:val="FFFFFF"/>
                <w:sz w:val="20"/>
                <w:szCs w:val="20"/>
                <w:lang w:val="fr-FR"/>
              </w:rPr>
            </w:pPr>
          </w:p>
        </w:tc>
        <w:tc>
          <w:tcPr>
            <w:tcW w:w="897" w:type="dxa"/>
            <w:vMerge/>
            <w:tcBorders>
              <w:left w:val="single" w:sz="4" w:space="0" w:color="auto"/>
              <w:bottom w:val="single" w:sz="4" w:space="0" w:color="auto"/>
              <w:right w:val="single" w:sz="4" w:space="0" w:color="auto"/>
            </w:tcBorders>
          </w:tcPr>
          <w:p w14:paraId="4B38DB1F" w14:textId="77777777" w:rsidR="00A97DFB" w:rsidRPr="005E3076" w:rsidRDefault="00A97DFB" w:rsidP="00A97DFB">
            <w:pPr>
              <w:widowControl w:val="0"/>
              <w:pBdr>
                <w:top w:val="nil"/>
                <w:left w:val="nil"/>
                <w:bottom w:val="nil"/>
                <w:right w:val="nil"/>
                <w:between w:val="nil"/>
              </w:pBdr>
              <w:spacing w:after="0" w:line="276" w:lineRule="auto"/>
              <w:jc w:val="center"/>
              <w:rPr>
                <w:b/>
                <w:color w:val="FFFFFF"/>
                <w:sz w:val="20"/>
                <w:szCs w:val="20"/>
                <w:lang w:val="fr-FR"/>
              </w:rPr>
            </w:pPr>
          </w:p>
        </w:tc>
        <w:tc>
          <w:tcPr>
            <w:tcW w:w="1618" w:type="dxa"/>
            <w:vMerge/>
            <w:tcBorders>
              <w:left w:val="single" w:sz="4" w:space="0" w:color="auto"/>
              <w:bottom w:val="single" w:sz="8" w:space="0" w:color="000000" w:themeColor="text1"/>
              <w:right w:val="single" w:sz="8" w:space="0" w:color="000000" w:themeColor="text1"/>
            </w:tcBorders>
            <w:shd w:val="clear" w:color="auto" w:fill="0067B9"/>
          </w:tcPr>
          <w:p w14:paraId="4B38DB20" w14:textId="470B9861" w:rsidR="00A97DFB" w:rsidRPr="005E3076" w:rsidRDefault="00A97DFB" w:rsidP="00A97DFB">
            <w:pPr>
              <w:spacing w:after="0"/>
              <w:jc w:val="center"/>
              <w:rPr>
                <w:b/>
                <w:color w:val="FFFFFF"/>
                <w:sz w:val="20"/>
                <w:szCs w:val="20"/>
                <w:lang w:val="fr-FR"/>
              </w:rPr>
            </w:pPr>
          </w:p>
        </w:tc>
        <w:tc>
          <w:tcPr>
            <w:tcW w:w="1025" w:type="dxa"/>
            <w:tcBorders>
              <w:top w:val="nil"/>
              <w:left w:val="nil"/>
              <w:bottom w:val="single" w:sz="8" w:space="0" w:color="000000" w:themeColor="text1"/>
              <w:right w:val="single" w:sz="8" w:space="0" w:color="000000" w:themeColor="text1"/>
            </w:tcBorders>
            <w:shd w:val="clear" w:color="auto" w:fill="0067B9"/>
          </w:tcPr>
          <w:p w14:paraId="4B38DB21" w14:textId="77777777" w:rsidR="00A97DFB" w:rsidRDefault="00A97DFB" w:rsidP="00A97DFB">
            <w:pPr>
              <w:spacing w:after="0"/>
              <w:jc w:val="center"/>
              <w:rPr>
                <w:b/>
                <w:color w:val="FFFFFF"/>
                <w:sz w:val="20"/>
                <w:szCs w:val="20"/>
              </w:rPr>
            </w:pPr>
            <w:r>
              <w:rPr>
                <w:b/>
                <w:color w:val="FFFFFF"/>
                <w:sz w:val="20"/>
                <w:szCs w:val="20"/>
              </w:rPr>
              <w:t>Campaign</w:t>
            </w:r>
          </w:p>
        </w:tc>
        <w:tc>
          <w:tcPr>
            <w:tcW w:w="875" w:type="dxa"/>
            <w:tcBorders>
              <w:top w:val="nil"/>
              <w:left w:val="nil"/>
              <w:bottom w:val="single" w:sz="8" w:space="0" w:color="000000" w:themeColor="text1"/>
              <w:right w:val="single" w:sz="8" w:space="0" w:color="000000" w:themeColor="text1"/>
            </w:tcBorders>
            <w:shd w:val="clear" w:color="auto" w:fill="0067B9"/>
          </w:tcPr>
          <w:p w14:paraId="4B38DB22" w14:textId="77777777" w:rsidR="00A97DFB" w:rsidRDefault="00A97DFB" w:rsidP="00A97DFB">
            <w:pPr>
              <w:spacing w:after="0"/>
              <w:jc w:val="center"/>
              <w:rPr>
                <w:b/>
                <w:color w:val="FFFFFF"/>
                <w:sz w:val="20"/>
                <w:szCs w:val="20"/>
              </w:rPr>
            </w:pPr>
            <w:r>
              <w:rPr>
                <w:b/>
                <w:color w:val="FFFFFF"/>
                <w:sz w:val="20"/>
                <w:szCs w:val="20"/>
              </w:rPr>
              <w:t>Other</w:t>
            </w:r>
          </w:p>
        </w:tc>
        <w:tc>
          <w:tcPr>
            <w:tcW w:w="1975" w:type="dxa"/>
            <w:vMerge/>
            <w:tcBorders>
              <w:bottom w:val="single" w:sz="4" w:space="0" w:color="auto"/>
              <w:right w:val="single" w:sz="4" w:space="0" w:color="auto"/>
            </w:tcBorders>
          </w:tcPr>
          <w:p w14:paraId="4B38DB23" w14:textId="77777777" w:rsidR="00A97DFB" w:rsidRDefault="00A97DFB" w:rsidP="00A97DFB">
            <w:pPr>
              <w:widowControl w:val="0"/>
              <w:pBdr>
                <w:top w:val="nil"/>
                <w:left w:val="nil"/>
                <w:bottom w:val="nil"/>
                <w:right w:val="nil"/>
                <w:between w:val="nil"/>
              </w:pBdr>
              <w:spacing w:after="0" w:line="276" w:lineRule="auto"/>
              <w:jc w:val="center"/>
              <w:rPr>
                <w:b/>
                <w:color w:val="FFFFFF"/>
                <w:sz w:val="20"/>
                <w:szCs w:val="20"/>
              </w:rPr>
            </w:pPr>
          </w:p>
        </w:tc>
        <w:tc>
          <w:tcPr>
            <w:tcW w:w="1588" w:type="dxa"/>
            <w:vMerge/>
            <w:tcBorders>
              <w:left w:val="single" w:sz="4" w:space="0" w:color="auto"/>
              <w:bottom w:val="single" w:sz="8" w:space="0" w:color="000000" w:themeColor="text1"/>
              <w:right w:val="nil"/>
            </w:tcBorders>
            <w:shd w:val="clear" w:color="auto" w:fill="0067B9"/>
          </w:tcPr>
          <w:p w14:paraId="4B38DB24" w14:textId="76C90B14" w:rsidR="00A97DFB" w:rsidRDefault="00A97DFB" w:rsidP="00A97DFB">
            <w:pPr>
              <w:spacing w:after="0"/>
              <w:jc w:val="center"/>
              <w:rPr>
                <w:b/>
                <w:color w:val="FFFFFF"/>
                <w:sz w:val="20"/>
                <w:szCs w:val="20"/>
              </w:rPr>
            </w:pPr>
          </w:p>
        </w:tc>
      </w:tr>
      <w:tr w:rsidR="002B0777" w14:paraId="4B38DB2E" w14:textId="77777777" w:rsidTr="000935E9">
        <w:trPr>
          <w:trHeight w:val="300"/>
          <w:jc w:val="center"/>
        </w:trPr>
        <w:tc>
          <w:tcPr>
            <w:tcW w:w="1888" w:type="dxa"/>
            <w:vMerge w:val="restart"/>
            <w:tcBorders>
              <w:top w:val="single" w:sz="4" w:space="0" w:color="auto"/>
              <w:left w:val="nil"/>
              <w:right w:val="single" w:sz="8" w:space="0" w:color="000000" w:themeColor="text1"/>
            </w:tcBorders>
            <w:shd w:val="clear" w:color="auto" w:fill="auto"/>
          </w:tcPr>
          <w:p w14:paraId="74D4D6F3" w14:textId="77777777" w:rsidR="002B0777" w:rsidRPr="00FF30CE" w:rsidRDefault="002B0777" w:rsidP="00173495">
            <w:pPr>
              <w:spacing w:after="0"/>
              <w:rPr>
                <w:color w:val="000000"/>
              </w:rPr>
            </w:pPr>
            <w:r w:rsidRPr="00FF30CE">
              <w:t>Nyimba</w:t>
            </w:r>
          </w:p>
          <w:p w14:paraId="24472808" w14:textId="77777777" w:rsidR="002B0777" w:rsidRPr="00FF30CE" w:rsidRDefault="002B0777" w:rsidP="00173495">
            <w:pPr>
              <w:spacing w:after="0"/>
              <w:rPr>
                <w:color w:val="000000"/>
              </w:rPr>
            </w:pPr>
            <w:r w:rsidRPr="00FF30CE">
              <w:t>(Olyset® Plus)</w:t>
            </w:r>
          </w:p>
          <w:p w14:paraId="4B38DB26" w14:textId="58D78935" w:rsidR="002B0777" w:rsidRPr="00FF30CE" w:rsidRDefault="002B0777" w:rsidP="00173495">
            <w:pPr>
              <w:spacing w:after="0"/>
              <w:rPr>
                <w:color w:val="000000"/>
              </w:rPr>
            </w:pPr>
            <w:r w:rsidRPr="00FF30CE">
              <w:rPr>
                <w:color w:val="000000"/>
              </w:rPr>
              <w:t> </w:t>
            </w:r>
          </w:p>
        </w:tc>
        <w:tc>
          <w:tcPr>
            <w:tcW w:w="1442" w:type="dxa"/>
            <w:tcBorders>
              <w:top w:val="single" w:sz="4" w:space="0" w:color="auto"/>
              <w:left w:val="nil"/>
              <w:bottom w:val="dotted" w:sz="4" w:space="0" w:color="000000" w:themeColor="text1"/>
              <w:right w:val="single" w:sz="8" w:space="0" w:color="000000" w:themeColor="text1"/>
            </w:tcBorders>
            <w:shd w:val="clear" w:color="auto" w:fill="auto"/>
          </w:tcPr>
          <w:p w14:paraId="4B38DB27" w14:textId="5204E111" w:rsidR="002B0777" w:rsidRPr="00FF30CE" w:rsidRDefault="002B0777" w:rsidP="00173495">
            <w:pPr>
              <w:spacing w:after="0"/>
              <w:rPr>
                <w:color w:val="000000"/>
              </w:rPr>
            </w:pPr>
            <w:r w:rsidRPr="00FF30CE">
              <w:t>Baseline: (8.1)</w:t>
            </w:r>
          </w:p>
        </w:tc>
        <w:tc>
          <w:tcPr>
            <w:tcW w:w="897" w:type="dxa"/>
            <w:tcBorders>
              <w:top w:val="single" w:sz="4" w:space="0" w:color="auto"/>
              <w:left w:val="nil"/>
              <w:bottom w:val="dotted" w:sz="4" w:space="0" w:color="000000" w:themeColor="text1"/>
              <w:right w:val="single" w:sz="8" w:space="0" w:color="000000" w:themeColor="text1"/>
            </w:tcBorders>
            <w:shd w:val="clear" w:color="auto" w:fill="auto"/>
            <w:vAlign w:val="center"/>
          </w:tcPr>
          <w:p w14:paraId="4B38DB28" w14:textId="5A2801C8" w:rsidR="002B0777" w:rsidRPr="00FF30CE" w:rsidRDefault="002B0777" w:rsidP="00840613">
            <w:pPr>
              <w:spacing w:after="0"/>
              <w:jc w:val="center"/>
              <w:rPr>
                <w:color w:val="000000"/>
              </w:rPr>
            </w:pPr>
            <w:r w:rsidRPr="00FF30CE">
              <w:t>1.7%</w:t>
            </w:r>
          </w:p>
        </w:tc>
        <w:tc>
          <w:tcPr>
            <w:tcW w:w="1618" w:type="dxa"/>
            <w:tcBorders>
              <w:top w:val="nil"/>
              <w:left w:val="nil"/>
              <w:bottom w:val="dotted" w:sz="4" w:space="0" w:color="000000" w:themeColor="text1"/>
              <w:right w:val="single" w:sz="8" w:space="0" w:color="000000" w:themeColor="text1"/>
            </w:tcBorders>
            <w:shd w:val="clear" w:color="auto" w:fill="auto"/>
            <w:vAlign w:val="center"/>
          </w:tcPr>
          <w:p w14:paraId="4B38DB29" w14:textId="2B8D2077" w:rsidR="002B0777" w:rsidRPr="00FF30CE" w:rsidRDefault="002B0777" w:rsidP="00840613">
            <w:pPr>
              <w:spacing w:after="0"/>
              <w:jc w:val="center"/>
              <w:rPr>
                <w:color w:val="000000"/>
              </w:rPr>
            </w:pPr>
            <w:r w:rsidRPr="00FF30CE">
              <w:t>90.3% (N=236)</w:t>
            </w:r>
          </w:p>
        </w:tc>
        <w:tc>
          <w:tcPr>
            <w:tcW w:w="1025" w:type="dxa"/>
            <w:tcBorders>
              <w:top w:val="nil"/>
              <w:left w:val="nil"/>
              <w:bottom w:val="dotted" w:sz="4" w:space="0" w:color="000000" w:themeColor="text1"/>
              <w:right w:val="single" w:sz="8" w:space="0" w:color="000000" w:themeColor="text1"/>
            </w:tcBorders>
            <w:shd w:val="clear" w:color="auto" w:fill="auto"/>
            <w:vAlign w:val="center"/>
          </w:tcPr>
          <w:p w14:paraId="4B38DB2A" w14:textId="15F7DCF0" w:rsidR="002B0777" w:rsidRPr="00FF30CE" w:rsidRDefault="002B0777" w:rsidP="00840613">
            <w:pPr>
              <w:spacing w:after="0"/>
              <w:jc w:val="center"/>
              <w:rPr>
                <w:color w:val="000000"/>
              </w:rPr>
            </w:pPr>
            <w:r w:rsidRPr="00FF30CE">
              <w:t>51.7%</w:t>
            </w:r>
          </w:p>
        </w:tc>
        <w:tc>
          <w:tcPr>
            <w:tcW w:w="875" w:type="dxa"/>
            <w:tcBorders>
              <w:top w:val="nil"/>
              <w:left w:val="nil"/>
              <w:bottom w:val="dotted" w:sz="4" w:space="0" w:color="000000" w:themeColor="text1"/>
              <w:right w:val="single" w:sz="8" w:space="0" w:color="000000" w:themeColor="text1"/>
            </w:tcBorders>
            <w:shd w:val="clear" w:color="auto" w:fill="auto"/>
            <w:vAlign w:val="center"/>
          </w:tcPr>
          <w:p w14:paraId="4B38DB2B" w14:textId="1A1CDB22" w:rsidR="002B0777" w:rsidRPr="00FF30CE" w:rsidRDefault="002B0777" w:rsidP="00840613">
            <w:pPr>
              <w:spacing w:after="0"/>
              <w:jc w:val="center"/>
              <w:rPr>
                <w:color w:val="000000"/>
              </w:rPr>
            </w:pPr>
            <w:r w:rsidRPr="00FF30CE">
              <w:t>60.8%</w:t>
            </w:r>
          </w:p>
        </w:tc>
        <w:tc>
          <w:tcPr>
            <w:tcW w:w="1975" w:type="dxa"/>
            <w:tcBorders>
              <w:top w:val="single" w:sz="4" w:space="0" w:color="auto"/>
              <w:left w:val="nil"/>
              <w:bottom w:val="dotted" w:sz="4" w:space="0" w:color="000000" w:themeColor="text1"/>
              <w:right w:val="single" w:sz="8" w:space="0" w:color="000000" w:themeColor="text1"/>
            </w:tcBorders>
            <w:shd w:val="clear" w:color="auto" w:fill="auto"/>
            <w:vAlign w:val="center"/>
          </w:tcPr>
          <w:p w14:paraId="4B38DB2C" w14:textId="52A6068D" w:rsidR="002B0777" w:rsidRPr="00FF30CE" w:rsidRDefault="002B0777" w:rsidP="00840613">
            <w:pPr>
              <w:spacing w:after="0"/>
              <w:jc w:val="center"/>
              <w:rPr>
                <w:color w:val="000000"/>
              </w:rPr>
            </w:pPr>
            <w:r w:rsidRPr="00FF30CE">
              <w:rPr>
                <w:color w:val="000000"/>
              </w:rPr>
              <w:t>40.1 (32.1-48.1)</w:t>
            </w:r>
          </w:p>
        </w:tc>
        <w:tc>
          <w:tcPr>
            <w:tcW w:w="1588" w:type="dxa"/>
            <w:tcBorders>
              <w:top w:val="nil"/>
              <w:left w:val="nil"/>
              <w:bottom w:val="dotted" w:sz="4" w:space="0" w:color="000000" w:themeColor="text1"/>
            </w:tcBorders>
            <w:shd w:val="clear" w:color="auto" w:fill="auto"/>
            <w:vAlign w:val="center"/>
          </w:tcPr>
          <w:p w14:paraId="4B38DB2D" w14:textId="0F7A3E72" w:rsidR="002B0777" w:rsidRPr="00FF30CE" w:rsidRDefault="002B0777" w:rsidP="00840613">
            <w:pPr>
              <w:spacing w:after="0"/>
              <w:jc w:val="center"/>
              <w:rPr>
                <w:color w:val="000000"/>
              </w:rPr>
            </w:pPr>
            <w:r w:rsidRPr="005E3076">
              <w:rPr>
                <w:color w:val="000000"/>
              </w:rPr>
              <w:t>4.5 (3.8-5.1)</w:t>
            </w:r>
            <w:r w:rsidRPr="005E3076">
              <w:rPr>
                <w:color w:val="000000"/>
                <w:vertAlign w:val="superscript"/>
              </w:rPr>
              <w:t xml:space="preserve"> a</w:t>
            </w:r>
          </w:p>
        </w:tc>
      </w:tr>
      <w:tr w:rsidR="002B0777" w14:paraId="4B38DB37" w14:textId="77777777" w:rsidTr="000935E9">
        <w:trPr>
          <w:trHeight w:val="300"/>
          <w:jc w:val="center"/>
        </w:trPr>
        <w:tc>
          <w:tcPr>
            <w:tcW w:w="1888" w:type="dxa"/>
            <w:vMerge/>
            <w:tcBorders>
              <w:left w:val="nil"/>
              <w:right w:val="single" w:sz="8" w:space="0" w:color="000000" w:themeColor="text1"/>
            </w:tcBorders>
            <w:shd w:val="clear" w:color="auto" w:fill="auto"/>
          </w:tcPr>
          <w:p w14:paraId="4B38DB2F" w14:textId="325F8F25" w:rsidR="002B0777" w:rsidRPr="00FF30CE" w:rsidRDefault="002B0777" w:rsidP="00173495">
            <w:pPr>
              <w:spacing w:after="0"/>
              <w:rPr>
                <w:color w:val="000000"/>
              </w:rPr>
            </w:pPr>
          </w:p>
        </w:tc>
        <w:tc>
          <w:tcPr>
            <w:tcW w:w="1442" w:type="dxa"/>
            <w:tcBorders>
              <w:top w:val="nil"/>
              <w:left w:val="nil"/>
              <w:bottom w:val="dotted" w:sz="4" w:space="0" w:color="000000" w:themeColor="text1"/>
              <w:right w:val="single" w:sz="8" w:space="0" w:color="000000" w:themeColor="text1"/>
            </w:tcBorders>
            <w:shd w:val="clear" w:color="auto" w:fill="auto"/>
          </w:tcPr>
          <w:p w14:paraId="4B38DB30" w14:textId="1B83D68B" w:rsidR="002B0777" w:rsidRPr="00FF30CE" w:rsidRDefault="002B0777" w:rsidP="00173495">
            <w:pPr>
              <w:spacing w:after="0"/>
              <w:rPr>
                <w:color w:val="000000"/>
              </w:rPr>
            </w:pPr>
            <w:r w:rsidRPr="00FF30CE">
              <w:t>12m: (13.7)</w:t>
            </w:r>
          </w:p>
        </w:tc>
        <w:tc>
          <w:tcPr>
            <w:tcW w:w="897" w:type="dxa"/>
            <w:tcBorders>
              <w:top w:val="nil"/>
              <w:left w:val="nil"/>
              <w:bottom w:val="dotted" w:sz="4" w:space="0" w:color="000000" w:themeColor="text1"/>
              <w:right w:val="single" w:sz="8" w:space="0" w:color="000000" w:themeColor="text1"/>
            </w:tcBorders>
            <w:shd w:val="clear" w:color="auto" w:fill="auto"/>
            <w:vAlign w:val="center"/>
          </w:tcPr>
          <w:p w14:paraId="4B38DB31" w14:textId="4BD936B0" w:rsidR="002B0777" w:rsidRPr="00FF30CE" w:rsidRDefault="002B0777" w:rsidP="00840613">
            <w:pPr>
              <w:spacing w:after="0"/>
              <w:jc w:val="center"/>
              <w:rPr>
                <w:color w:val="000000"/>
              </w:rPr>
            </w:pPr>
            <w:r w:rsidRPr="00FF30CE">
              <w:t>5.4%</w:t>
            </w:r>
          </w:p>
        </w:tc>
        <w:tc>
          <w:tcPr>
            <w:tcW w:w="1618" w:type="dxa"/>
            <w:tcBorders>
              <w:top w:val="nil"/>
              <w:left w:val="nil"/>
              <w:bottom w:val="dotted" w:sz="4" w:space="0" w:color="000000" w:themeColor="text1"/>
              <w:right w:val="single" w:sz="8" w:space="0" w:color="000000" w:themeColor="text1"/>
            </w:tcBorders>
            <w:shd w:val="clear" w:color="auto" w:fill="auto"/>
            <w:vAlign w:val="center"/>
          </w:tcPr>
          <w:p w14:paraId="4B38DB32" w14:textId="40D1CE6F" w:rsidR="002B0777" w:rsidRPr="00FF30CE" w:rsidRDefault="002B0777" w:rsidP="00840613">
            <w:pPr>
              <w:spacing w:after="0"/>
              <w:jc w:val="center"/>
              <w:rPr>
                <w:color w:val="000000"/>
              </w:rPr>
            </w:pPr>
            <w:r w:rsidRPr="00FF30CE">
              <w:t>78.9% (N=171)</w:t>
            </w:r>
          </w:p>
        </w:tc>
        <w:tc>
          <w:tcPr>
            <w:tcW w:w="1025" w:type="dxa"/>
            <w:tcBorders>
              <w:top w:val="nil"/>
              <w:left w:val="nil"/>
              <w:bottom w:val="dotted" w:sz="4" w:space="0" w:color="000000" w:themeColor="text1"/>
              <w:right w:val="single" w:sz="8" w:space="0" w:color="000000" w:themeColor="text1"/>
            </w:tcBorders>
            <w:shd w:val="clear" w:color="auto" w:fill="auto"/>
            <w:vAlign w:val="center"/>
          </w:tcPr>
          <w:p w14:paraId="4B38DB33" w14:textId="4B2A2583" w:rsidR="002B0777" w:rsidRPr="00FF30CE" w:rsidRDefault="002B0777" w:rsidP="00840613">
            <w:pPr>
              <w:spacing w:after="0"/>
              <w:jc w:val="center"/>
              <w:rPr>
                <w:color w:val="000000"/>
              </w:rPr>
            </w:pPr>
            <w:r w:rsidRPr="00FF30CE">
              <w:t>67.7%</w:t>
            </w:r>
          </w:p>
        </w:tc>
        <w:tc>
          <w:tcPr>
            <w:tcW w:w="875" w:type="dxa"/>
            <w:tcBorders>
              <w:top w:val="nil"/>
              <w:left w:val="nil"/>
              <w:bottom w:val="dotted" w:sz="4" w:space="0" w:color="000000" w:themeColor="text1"/>
              <w:right w:val="single" w:sz="8" w:space="0" w:color="000000" w:themeColor="text1"/>
            </w:tcBorders>
            <w:shd w:val="clear" w:color="auto" w:fill="auto"/>
            <w:vAlign w:val="center"/>
          </w:tcPr>
          <w:p w14:paraId="4B38DB34" w14:textId="0340D8E6" w:rsidR="002B0777" w:rsidRPr="00FF30CE" w:rsidRDefault="002B0777" w:rsidP="00840613">
            <w:pPr>
              <w:spacing w:after="0"/>
              <w:jc w:val="center"/>
              <w:rPr>
                <w:color w:val="000000"/>
              </w:rPr>
            </w:pPr>
            <w:r w:rsidRPr="00FF30CE">
              <w:t>80.6%</w:t>
            </w:r>
          </w:p>
        </w:tc>
        <w:tc>
          <w:tcPr>
            <w:tcW w:w="1975" w:type="dxa"/>
            <w:tcBorders>
              <w:top w:val="nil"/>
              <w:left w:val="nil"/>
              <w:bottom w:val="dotted" w:sz="4" w:space="0" w:color="000000" w:themeColor="text1"/>
              <w:right w:val="single" w:sz="8" w:space="0" w:color="000000" w:themeColor="text1"/>
            </w:tcBorders>
            <w:shd w:val="clear" w:color="auto" w:fill="auto"/>
            <w:vAlign w:val="center"/>
          </w:tcPr>
          <w:p w14:paraId="4B38DB35" w14:textId="459C8F9C" w:rsidR="002B0777" w:rsidRPr="00FF30CE" w:rsidRDefault="002B0777" w:rsidP="00840613">
            <w:pPr>
              <w:spacing w:after="0"/>
              <w:jc w:val="center"/>
              <w:rPr>
                <w:color w:val="000000"/>
              </w:rPr>
            </w:pPr>
            <w:r w:rsidRPr="00FF30CE">
              <w:rPr>
                <w:color w:val="000000"/>
              </w:rPr>
              <w:t>66.2 (58.6-73.8)</w:t>
            </w:r>
          </w:p>
        </w:tc>
        <w:tc>
          <w:tcPr>
            <w:tcW w:w="1588" w:type="dxa"/>
            <w:tcBorders>
              <w:top w:val="nil"/>
              <w:left w:val="nil"/>
              <w:bottom w:val="dotted" w:sz="4" w:space="0" w:color="000000" w:themeColor="text1"/>
            </w:tcBorders>
            <w:shd w:val="clear" w:color="auto" w:fill="auto"/>
            <w:vAlign w:val="center"/>
          </w:tcPr>
          <w:p w14:paraId="4B38DB36" w14:textId="55745A55" w:rsidR="002B0777" w:rsidRPr="00FF30CE" w:rsidRDefault="002B0777" w:rsidP="00840613">
            <w:pPr>
              <w:spacing w:after="0"/>
              <w:jc w:val="center"/>
              <w:rPr>
                <w:color w:val="000000"/>
              </w:rPr>
            </w:pPr>
            <w:r w:rsidRPr="005E3076">
              <w:rPr>
                <w:color w:val="000000"/>
              </w:rPr>
              <w:t>3.8 (3.1-4.6)</w:t>
            </w:r>
            <w:r w:rsidRPr="005E3076">
              <w:rPr>
                <w:color w:val="000000"/>
                <w:vertAlign w:val="superscript"/>
              </w:rPr>
              <w:t xml:space="preserve"> a</w:t>
            </w:r>
          </w:p>
        </w:tc>
      </w:tr>
      <w:tr w:rsidR="002B0777" w14:paraId="4B38DB40" w14:textId="77777777" w:rsidTr="000935E9">
        <w:trPr>
          <w:trHeight w:val="310"/>
          <w:jc w:val="center"/>
        </w:trPr>
        <w:tc>
          <w:tcPr>
            <w:tcW w:w="1888" w:type="dxa"/>
            <w:vMerge/>
            <w:tcBorders>
              <w:left w:val="nil"/>
              <w:right w:val="single" w:sz="8" w:space="0" w:color="000000" w:themeColor="text1"/>
            </w:tcBorders>
            <w:shd w:val="clear" w:color="auto" w:fill="auto"/>
          </w:tcPr>
          <w:p w14:paraId="4B38DB38" w14:textId="6C8662C7" w:rsidR="002B0777" w:rsidRPr="00FF30CE" w:rsidRDefault="002B0777" w:rsidP="00173495">
            <w:pPr>
              <w:spacing w:after="0"/>
              <w:rPr>
                <w:color w:val="000000"/>
              </w:rPr>
            </w:pPr>
          </w:p>
        </w:tc>
        <w:tc>
          <w:tcPr>
            <w:tcW w:w="1442" w:type="dxa"/>
            <w:tcBorders>
              <w:top w:val="dotted" w:sz="4" w:space="0" w:color="000000" w:themeColor="text1"/>
              <w:left w:val="single" w:sz="8" w:space="0" w:color="000000" w:themeColor="text1"/>
              <w:bottom w:val="dotted" w:sz="4" w:space="0" w:color="000000" w:themeColor="text1"/>
              <w:right w:val="single" w:sz="8" w:space="0" w:color="000000" w:themeColor="text1"/>
            </w:tcBorders>
            <w:shd w:val="clear" w:color="auto" w:fill="auto"/>
          </w:tcPr>
          <w:p w14:paraId="4B38DB39" w14:textId="0E719F04" w:rsidR="002B0777" w:rsidRPr="00FF30CE" w:rsidRDefault="002B0777" w:rsidP="00173495">
            <w:pPr>
              <w:spacing w:after="0"/>
            </w:pPr>
            <w:r w:rsidRPr="00FF30CE">
              <w:t>24m: (25.2)</w:t>
            </w:r>
          </w:p>
        </w:tc>
        <w:tc>
          <w:tcPr>
            <w:tcW w:w="897"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3A" w14:textId="6713E064" w:rsidR="002B0777" w:rsidRPr="00FF30CE" w:rsidRDefault="002B0777" w:rsidP="00840613">
            <w:pPr>
              <w:spacing w:after="0"/>
              <w:jc w:val="center"/>
            </w:pPr>
            <w:r w:rsidRPr="00FF30CE">
              <w:t>15.2%</w:t>
            </w:r>
          </w:p>
        </w:tc>
        <w:tc>
          <w:tcPr>
            <w:tcW w:w="1618"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3B" w14:textId="5030105F" w:rsidR="002B0777" w:rsidRPr="00FF30CE" w:rsidRDefault="002B0777" w:rsidP="00840613">
            <w:pPr>
              <w:spacing w:after="0"/>
              <w:jc w:val="center"/>
            </w:pPr>
            <w:r w:rsidRPr="00FF30CE">
              <w:t>66.7% (N=105)</w:t>
            </w:r>
          </w:p>
        </w:tc>
        <w:tc>
          <w:tcPr>
            <w:tcW w:w="102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3C" w14:textId="0F05D1D4" w:rsidR="002B0777" w:rsidRPr="00FF30CE" w:rsidRDefault="002B0777" w:rsidP="00840613">
            <w:pPr>
              <w:spacing w:after="0"/>
              <w:jc w:val="center"/>
            </w:pPr>
            <w:r w:rsidRPr="00FF30CE">
              <w:t>72.2%</w:t>
            </w:r>
          </w:p>
        </w:tc>
        <w:tc>
          <w:tcPr>
            <w:tcW w:w="87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3D" w14:textId="1A54402E" w:rsidR="002B0777" w:rsidRPr="00FF30CE" w:rsidRDefault="002B0777" w:rsidP="00840613">
            <w:pPr>
              <w:spacing w:after="0"/>
              <w:jc w:val="center"/>
            </w:pPr>
            <w:r w:rsidRPr="00FF30CE">
              <w:t>87.6%</w:t>
            </w:r>
          </w:p>
        </w:tc>
        <w:tc>
          <w:tcPr>
            <w:tcW w:w="197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3E" w14:textId="7FDCC37C" w:rsidR="002B0777" w:rsidRPr="00FF30CE" w:rsidRDefault="002B0777" w:rsidP="00840613">
            <w:pPr>
              <w:spacing w:after="0"/>
              <w:jc w:val="center"/>
            </w:pPr>
            <w:r w:rsidRPr="00FF30CE">
              <w:t>12.9 (5.9-20.0)</w:t>
            </w:r>
          </w:p>
        </w:tc>
        <w:tc>
          <w:tcPr>
            <w:tcW w:w="1588" w:type="dxa"/>
            <w:tcBorders>
              <w:top w:val="dotted" w:sz="4" w:space="0" w:color="000000" w:themeColor="text1"/>
              <w:left w:val="nil"/>
              <w:bottom w:val="dotted" w:sz="4" w:space="0" w:color="000000" w:themeColor="text1"/>
            </w:tcBorders>
            <w:shd w:val="clear" w:color="auto" w:fill="auto"/>
            <w:vAlign w:val="center"/>
          </w:tcPr>
          <w:p w14:paraId="4B38DB3F" w14:textId="56D90AEB" w:rsidR="002B0777" w:rsidRPr="00FF30CE" w:rsidRDefault="002B0777" w:rsidP="00840613">
            <w:pPr>
              <w:spacing w:after="0"/>
              <w:jc w:val="center"/>
            </w:pPr>
            <w:r w:rsidRPr="00FF30CE">
              <w:t xml:space="preserve">2.1 (1.5-2.6) </w:t>
            </w:r>
            <w:r w:rsidRPr="00FF30CE">
              <w:rPr>
                <w:vertAlign w:val="superscript"/>
              </w:rPr>
              <w:t>a</w:t>
            </w:r>
          </w:p>
        </w:tc>
      </w:tr>
      <w:tr w:rsidR="002B0777" w14:paraId="4752F31E" w14:textId="77777777" w:rsidTr="000935E9">
        <w:trPr>
          <w:trHeight w:val="310"/>
          <w:jc w:val="center"/>
        </w:trPr>
        <w:tc>
          <w:tcPr>
            <w:tcW w:w="1888" w:type="dxa"/>
            <w:vMerge/>
            <w:tcBorders>
              <w:left w:val="nil"/>
              <w:bottom w:val="single" w:sz="8" w:space="0" w:color="000000" w:themeColor="text1"/>
              <w:right w:val="single" w:sz="8" w:space="0" w:color="000000" w:themeColor="text1"/>
            </w:tcBorders>
            <w:shd w:val="clear" w:color="auto" w:fill="auto"/>
          </w:tcPr>
          <w:p w14:paraId="47B95E06" w14:textId="77777777" w:rsidR="002B0777" w:rsidRPr="00FF30CE" w:rsidRDefault="002B0777" w:rsidP="00D07EC0">
            <w:pPr>
              <w:spacing w:after="0"/>
              <w:rPr>
                <w:color w:val="000000"/>
              </w:rPr>
            </w:pPr>
          </w:p>
        </w:tc>
        <w:tc>
          <w:tcPr>
            <w:tcW w:w="1442" w:type="dxa"/>
            <w:tcBorders>
              <w:top w:val="dotted"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58D815" w14:textId="1CA5CA38" w:rsidR="002B0777" w:rsidRPr="00FF30CE" w:rsidRDefault="002B0777" w:rsidP="00D07EC0">
            <w:pPr>
              <w:spacing w:after="0"/>
            </w:pPr>
            <w:r w:rsidRPr="00FF30CE">
              <w:t>36m: (36.8)</w:t>
            </w:r>
          </w:p>
        </w:tc>
        <w:tc>
          <w:tcPr>
            <w:tcW w:w="897"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466778B" w14:textId="3F68714A" w:rsidR="002B0777" w:rsidRPr="00FF30CE" w:rsidRDefault="002B0777" w:rsidP="00840613">
            <w:pPr>
              <w:spacing w:after="0"/>
              <w:jc w:val="center"/>
            </w:pPr>
            <w:r w:rsidRPr="00FF30CE">
              <w:t>23.5%</w:t>
            </w:r>
          </w:p>
        </w:tc>
        <w:tc>
          <w:tcPr>
            <w:tcW w:w="1618" w:type="dxa"/>
            <w:tcBorders>
              <w:top w:val="dotted" w:sz="4" w:space="0" w:color="000000" w:themeColor="text1"/>
              <w:left w:val="nil"/>
              <w:bottom w:val="single" w:sz="8" w:space="0" w:color="000000" w:themeColor="text1"/>
              <w:right w:val="single" w:sz="8" w:space="0" w:color="000000" w:themeColor="text1"/>
            </w:tcBorders>
            <w:shd w:val="clear" w:color="auto" w:fill="auto"/>
            <w:vAlign w:val="center"/>
          </w:tcPr>
          <w:p w14:paraId="2A04E823" w14:textId="07B14376" w:rsidR="002B0777" w:rsidRPr="00FF30CE" w:rsidRDefault="002B0777" w:rsidP="00840613">
            <w:pPr>
              <w:spacing w:after="0"/>
              <w:jc w:val="center"/>
            </w:pPr>
            <w:r w:rsidRPr="00FF30CE">
              <w:t>51.5% (N=68)</w:t>
            </w:r>
          </w:p>
        </w:tc>
        <w:tc>
          <w:tcPr>
            <w:tcW w:w="102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194A5BFC" w14:textId="2165B64C" w:rsidR="002B0777" w:rsidRPr="00FF30CE" w:rsidRDefault="002B0777" w:rsidP="00840613">
            <w:pPr>
              <w:spacing w:after="0"/>
              <w:jc w:val="center"/>
            </w:pPr>
            <w:r w:rsidRPr="00FF30CE">
              <w:t>47.8%</w:t>
            </w:r>
          </w:p>
        </w:tc>
        <w:tc>
          <w:tcPr>
            <w:tcW w:w="87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54B7A125" w14:textId="38FEE82D" w:rsidR="002B0777" w:rsidRPr="00FF30CE" w:rsidRDefault="002B0777" w:rsidP="00840613">
            <w:pPr>
              <w:spacing w:after="0"/>
              <w:jc w:val="center"/>
            </w:pPr>
            <w:r w:rsidRPr="00FF30CE">
              <w:t>65.6%</w:t>
            </w:r>
          </w:p>
        </w:tc>
        <w:tc>
          <w:tcPr>
            <w:tcW w:w="1975" w:type="dxa"/>
            <w:tcBorders>
              <w:top w:val="dotted" w:sz="4"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23ADF70A" w14:textId="76AD757F" w:rsidR="002B0777" w:rsidRPr="00FF30CE" w:rsidRDefault="00262C6E" w:rsidP="00AB4022">
            <w:pPr>
              <w:spacing w:after="0"/>
              <w:jc w:val="center"/>
            </w:pPr>
            <w:r w:rsidRPr="00FF30CE">
              <w:t>18.8 (</w:t>
            </w:r>
            <w:r w:rsidR="00F00547" w:rsidRPr="00FF30CE">
              <w:t>10.1-27.4)</w:t>
            </w:r>
          </w:p>
        </w:tc>
        <w:tc>
          <w:tcPr>
            <w:tcW w:w="1588" w:type="dxa"/>
            <w:tcBorders>
              <w:top w:val="dotted" w:sz="4" w:space="0" w:color="000000" w:themeColor="text1"/>
              <w:left w:val="nil"/>
              <w:bottom w:val="single" w:sz="8" w:space="0" w:color="000000" w:themeColor="text1"/>
            </w:tcBorders>
            <w:shd w:val="clear" w:color="auto" w:fill="F2F2F2" w:themeFill="background1" w:themeFillShade="F2"/>
            <w:vAlign w:val="center"/>
          </w:tcPr>
          <w:p w14:paraId="63EAF201" w14:textId="738DE107" w:rsidR="002B0777" w:rsidRPr="00FF30CE" w:rsidRDefault="009C47A1" w:rsidP="00AB4022">
            <w:pPr>
              <w:spacing w:after="0"/>
              <w:jc w:val="center"/>
            </w:pPr>
            <w:r w:rsidRPr="00FF30CE">
              <w:t>1.7 (1.0</w:t>
            </w:r>
            <w:r w:rsidR="00B574AD" w:rsidRPr="00FF30CE">
              <w:t>-</w:t>
            </w:r>
            <w:r w:rsidRPr="00FF30CE">
              <w:t>2.4)</w:t>
            </w:r>
            <w:r w:rsidR="00B574AD" w:rsidRPr="00FF30CE">
              <w:rPr>
                <w:vertAlign w:val="superscript"/>
              </w:rPr>
              <w:t xml:space="preserve"> a</w:t>
            </w:r>
          </w:p>
        </w:tc>
      </w:tr>
      <w:tr w:rsidR="002B0777" w14:paraId="4B38DB49" w14:textId="77777777" w:rsidTr="000935E9">
        <w:trPr>
          <w:trHeight w:val="290"/>
          <w:jc w:val="center"/>
        </w:trPr>
        <w:tc>
          <w:tcPr>
            <w:tcW w:w="1888" w:type="dxa"/>
            <w:vMerge w:val="restart"/>
            <w:tcBorders>
              <w:top w:val="nil"/>
              <w:left w:val="nil"/>
              <w:right w:val="single" w:sz="8" w:space="0" w:color="000000" w:themeColor="text1"/>
            </w:tcBorders>
            <w:shd w:val="clear" w:color="auto" w:fill="auto"/>
          </w:tcPr>
          <w:p w14:paraId="12DC8548" w14:textId="77777777" w:rsidR="002B0777" w:rsidRPr="00FF30CE" w:rsidRDefault="002B0777" w:rsidP="00214E42">
            <w:pPr>
              <w:spacing w:after="0"/>
              <w:rPr>
                <w:color w:val="000000"/>
              </w:rPr>
            </w:pPr>
            <w:r w:rsidRPr="00FF30CE">
              <w:t xml:space="preserve">Serenje </w:t>
            </w:r>
          </w:p>
          <w:p w14:paraId="30F1DCB8" w14:textId="77777777" w:rsidR="002B0777" w:rsidRPr="00FF30CE" w:rsidRDefault="002B0777" w:rsidP="00214E42">
            <w:pPr>
              <w:spacing w:after="0"/>
              <w:rPr>
                <w:color w:val="000000"/>
              </w:rPr>
            </w:pPr>
            <w:r w:rsidRPr="00FF30CE">
              <w:t>(Veeralin®)</w:t>
            </w:r>
          </w:p>
          <w:p w14:paraId="4B38DB41" w14:textId="49AD5636" w:rsidR="002B0777" w:rsidRPr="00FF30CE" w:rsidRDefault="002B0777" w:rsidP="00214E42">
            <w:pPr>
              <w:spacing w:after="0"/>
              <w:rPr>
                <w:color w:val="000000"/>
              </w:rPr>
            </w:pPr>
            <w:r w:rsidRPr="00FF30CE">
              <w:rPr>
                <w:color w:val="000000"/>
              </w:rPr>
              <w:t> </w:t>
            </w:r>
          </w:p>
        </w:tc>
        <w:tc>
          <w:tcPr>
            <w:tcW w:w="1442" w:type="dxa"/>
            <w:tcBorders>
              <w:top w:val="nil"/>
              <w:left w:val="nil"/>
              <w:bottom w:val="dotted" w:sz="4" w:space="0" w:color="000000" w:themeColor="text1"/>
              <w:right w:val="single" w:sz="8" w:space="0" w:color="000000" w:themeColor="text1"/>
            </w:tcBorders>
            <w:shd w:val="clear" w:color="auto" w:fill="auto"/>
          </w:tcPr>
          <w:p w14:paraId="4B38DB42" w14:textId="4128632E" w:rsidR="002B0777" w:rsidRPr="00FF30CE" w:rsidRDefault="002B0777" w:rsidP="00214E42">
            <w:pPr>
              <w:spacing w:after="0"/>
              <w:rPr>
                <w:color w:val="000000"/>
              </w:rPr>
            </w:pPr>
            <w:r w:rsidRPr="00FF30CE">
              <w:t>Baseline: (9.4)</w:t>
            </w:r>
          </w:p>
        </w:tc>
        <w:tc>
          <w:tcPr>
            <w:tcW w:w="897" w:type="dxa"/>
            <w:tcBorders>
              <w:top w:val="single" w:sz="8" w:space="0" w:color="000000" w:themeColor="text1"/>
              <w:left w:val="nil"/>
              <w:bottom w:val="dotted" w:sz="4" w:space="0" w:color="000000" w:themeColor="text1"/>
              <w:right w:val="single" w:sz="8" w:space="0" w:color="000000" w:themeColor="text1"/>
            </w:tcBorders>
            <w:shd w:val="clear" w:color="auto" w:fill="auto"/>
            <w:vAlign w:val="center"/>
          </w:tcPr>
          <w:p w14:paraId="4B38DB43" w14:textId="00945019" w:rsidR="002B0777" w:rsidRPr="00FF30CE" w:rsidRDefault="002B0777" w:rsidP="00840613">
            <w:pPr>
              <w:spacing w:after="0"/>
              <w:jc w:val="center"/>
              <w:rPr>
                <w:color w:val="000000"/>
              </w:rPr>
            </w:pPr>
            <w:r w:rsidRPr="00FF30CE">
              <w:t>1.7%</w:t>
            </w:r>
          </w:p>
        </w:tc>
        <w:tc>
          <w:tcPr>
            <w:tcW w:w="1618" w:type="dxa"/>
            <w:tcBorders>
              <w:top w:val="nil"/>
              <w:left w:val="nil"/>
              <w:bottom w:val="dotted" w:sz="4" w:space="0" w:color="000000" w:themeColor="text1"/>
              <w:right w:val="single" w:sz="8" w:space="0" w:color="000000" w:themeColor="text1"/>
            </w:tcBorders>
            <w:shd w:val="clear" w:color="auto" w:fill="auto"/>
            <w:vAlign w:val="center"/>
          </w:tcPr>
          <w:p w14:paraId="4B38DB44" w14:textId="51F5CA32" w:rsidR="002B0777" w:rsidRPr="00FF30CE" w:rsidRDefault="002B0777" w:rsidP="00840613">
            <w:pPr>
              <w:spacing w:after="0"/>
              <w:jc w:val="center"/>
              <w:rPr>
                <w:color w:val="000000"/>
              </w:rPr>
            </w:pPr>
            <w:r w:rsidRPr="00FF30CE">
              <w:t>97.2% (N=324)</w:t>
            </w:r>
          </w:p>
        </w:tc>
        <w:tc>
          <w:tcPr>
            <w:tcW w:w="1025" w:type="dxa"/>
            <w:tcBorders>
              <w:top w:val="single" w:sz="8" w:space="0" w:color="000000" w:themeColor="text1"/>
              <w:left w:val="nil"/>
              <w:bottom w:val="dotted" w:sz="4" w:space="0" w:color="000000" w:themeColor="text1"/>
              <w:right w:val="single" w:sz="8" w:space="0" w:color="000000" w:themeColor="text1"/>
            </w:tcBorders>
            <w:shd w:val="clear" w:color="auto" w:fill="auto"/>
            <w:vAlign w:val="center"/>
          </w:tcPr>
          <w:p w14:paraId="4B38DB45" w14:textId="0FC8FC14" w:rsidR="002B0777" w:rsidRPr="00FF30CE" w:rsidRDefault="002B0777" w:rsidP="00840613">
            <w:pPr>
              <w:spacing w:after="0"/>
              <w:jc w:val="center"/>
              <w:rPr>
                <w:color w:val="000000"/>
              </w:rPr>
            </w:pPr>
            <w:r w:rsidRPr="00FF30CE">
              <w:t>61.5%</w:t>
            </w:r>
          </w:p>
        </w:tc>
        <w:tc>
          <w:tcPr>
            <w:tcW w:w="875" w:type="dxa"/>
            <w:tcBorders>
              <w:top w:val="single" w:sz="8" w:space="0" w:color="000000" w:themeColor="text1"/>
              <w:left w:val="nil"/>
              <w:bottom w:val="dotted" w:sz="4" w:space="0" w:color="000000" w:themeColor="text1"/>
              <w:right w:val="single" w:sz="8" w:space="0" w:color="000000" w:themeColor="text1"/>
            </w:tcBorders>
            <w:shd w:val="clear" w:color="auto" w:fill="auto"/>
            <w:vAlign w:val="center"/>
          </w:tcPr>
          <w:p w14:paraId="4B38DB46" w14:textId="0D4B65E8" w:rsidR="002B0777" w:rsidRPr="00FF30CE" w:rsidRDefault="002B0777" w:rsidP="00840613">
            <w:pPr>
              <w:spacing w:after="0"/>
              <w:jc w:val="center"/>
              <w:rPr>
                <w:color w:val="000000"/>
              </w:rPr>
            </w:pPr>
            <w:r w:rsidRPr="00FF30CE">
              <w:t>56.7%</w:t>
            </w:r>
          </w:p>
        </w:tc>
        <w:tc>
          <w:tcPr>
            <w:tcW w:w="1975" w:type="dxa"/>
            <w:tcBorders>
              <w:top w:val="nil"/>
              <w:left w:val="nil"/>
              <w:bottom w:val="dotted" w:sz="4" w:space="0" w:color="000000" w:themeColor="text1"/>
              <w:right w:val="single" w:sz="8" w:space="0" w:color="000000" w:themeColor="text1"/>
            </w:tcBorders>
            <w:shd w:val="clear" w:color="auto" w:fill="auto"/>
            <w:vAlign w:val="center"/>
          </w:tcPr>
          <w:p w14:paraId="4B38DB47" w14:textId="1C50E116" w:rsidR="002B0777" w:rsidRPr="00FF30CE" w:rsidRDefault="002B0777" w:rsidP="00840613">
            <w:pPr>
              <w:spacing w:after="0"/>
              <w:jc w:val="center"/>
              <w:rPr>
                <w:color w:val="000000"/>
              </w:rPr>
            </w:pPr>
            <w:r w:rsidRPr="00FF30CE">
              <w:rPr>
                <w:color w:val="000000"/>
              </w:rPr>
              <w:t>34.3 (29.7-38.8)</w:t>
            </w:r>
          </w:p>
        </w:tc>
        <w:tc>
          <w:tcPr>
            <w:tcW w:w="1588" w:type="dxa"/>
            <w:tcBorders>
              <w:top w:val="nil"/>
              <w:left w:val="nil"/>
              <w:bottom w:val="dotted" w:sz="4" w:space="0" w:color="000000" w:themeColor="text1"/>
            </w:tcBorders>
            <w:shd w:val="clear" w:color="auto" w:fill="auto"/>
            <w:vAlign w:val="center"/>
          </w:tcPr>
          <w:p w14:paraId="4B38DB48" w14:textId="6F1C88D1" w:rsidR="002B0777" w:rsidRPr="00FF30CE" w:rsidRDefault="002B0777" w:rsidP="00840613">
            <w:pPr>
              <w:spacing w:after="0"/>
              <w:jc w:val="center"/>
              <w:rPr>
                <w:color w:val="000000"/>
              </w:rPr>
            </w:pPr>
            <w:r w:rsidRPr="005E3076">
              <w:rPr>
                <w:rFonts w:cs="Calibri"/>
                <w:color w:val="000000"/>
              </w:rPr>
              <w:t>1.7 (1.6-1.7)</w:t>
            </w:r>
            <w:r w:rsidRPr="005E3076">
              <w:rPr>
                <w:color w:val="000000"/>
                <w:vertAlign w:val="superscript"/>
              </w:rPr>
              <w:t xml:space="preserve"> b</w:t>
            </w:r>
          </w:p>
        </w:tc>
      </w:tr>
      <w:tr w:rsidR="002B0777" w14:paraId="4B38DB52" w14:textId="77777777" w:rsidTr="000935E9">
        <w:trPr>
          <w:trHeight w:val="300"/>
          <w:jc w:val="center"/>
        </w:trPr>
        <w:tc>
          <w:tcPr>
            <w:tcW w:w="1888" w:type="dxa"/>
            <w:vMerge/>
            <w:tcBorders>
              <w:left w:val="nil"/>
              <w:right w:val="single" w:sz="8" w:space="0" w:color="000000" w:themeColor="text1"/>
            </w:tcBorders>
            <w:shd w:val="clear" w:color="auto" w:fill="auto"/>
          </w:tcPr>
          <w:p w14:paraId="4B38DB4A" w14:textId="2373C010" w:rsidR="002B0777" w:rsidRPr="00FF30CE" w:rsidRDefault="002B0777" w:rsidP="00214E42">
            <w:pPr>
              <w:spacing w:after="0"/>
              <w:rPr>
                <w:color w:val="000000"/>
              </w:rPr>
            </w:pPr>
          </w:p>
        </w:tc>
        <w:tc>
          <w:tcPr>
            <w:tcW w:w="1442" w:type="dxa"/>
            <w:tcBorders>
              <w:top w:val="nil"/>
              <w:left w:val="nil"/>
              <w:bottom w:val="dotted" w:sz="4" w:space="0" w:color="000000" w:themeColor="text1"/>
              <w:right w:val="single" w:sz="8" w:space="0" w:color="000000" w:themeColor="text1"/>
            </w:tcBorders>
            <w:shd w:val="clear" w:color="auto" w:fill="auto"/>
          </w:tcPr>
          <w:p w14:paraId="4B38DB4B" w14:textId="4BFC29DE" w:rsidR="002B0777" w:rsidRPr="00FF30CE" w:rsidRDefault="002B0777" w:rsidP="00214E42">
            <w:pPr>
              <w:spacing w:after="0"/>
              <w:rPr>
                <w:color w:val="000000"/>
              </w:rPr>
            </w:pPr>
            <w:r w:rsidRPr="00FF30CE">
              <w:t>12m: n/a*</w:t>
            </w:r>
          </w:p>
        </w:tc>
        <w:tc>
          <w:tcPr>
            <w:tcW w:w="897" w:type="dxa"/>
            <w:tcBorders>
              <w:top w:val="nil"/>
              <w:left w:val="nil"/>
              <w:bottom w:val="dotted" w:sz="4" w:space="0" w:color="000000" w:themeColor="text1"/>
              <w:right w:val="single" w:sz="8" w:space="0" w:color="000000" w:themeColor="text1"/>
            </w:tcBorders>
            <w:shd w:val="clear" w:color="auto" w:fill="auto"/>
            <w:vAlign w:val="center"/>
          </w:tcPr>
          <w:p w14:paraId="4B38DB4C" w14:textId="407582FA" w:rsidR="002B0777" w:rsidRPr="00FF30CE" w:rsidRDefault="002B0777" w:rsidP="00840613">
            <w:pPr>
              <w:spacing w:after="0"/>
              <w:jc w:val="center"/>
              <w:rPr>
                <w:color w:val="000000"/>
              </w:rPr>
            </w:pPr>
            <w:r w:rsidRPr="00FF30CE">
              <w:t>n/a*</w:t>
            </w:r>
          </w:p>
        </w:tc>
        <w:tc>
          <w:tcPr>
            <w:tcW w:w="1618" w:type="dxa"/>
            <w:tcBorders>
              <w:top w:val="nil"/>
              <w:left w:val="nil"/>
              <w:bottom w:val="dotted" w:sz="4" w:space="0" w:color="000000" w:themeColor="text1"/>
              <w:right w:val="single" w:sz="8" w:space="0" w:color="000000" w:themeColor="text1"/>
            </w:tcBorders>
            <w:shd w:val="clear" w:color="auto" w:fill="auto"/>
            <w:vAlign w:val="center"/>
          </w:tcPr>
          <w:p w14:paraId="4B38DB4D" w14:textId="1FE136AE" w:rsidR="002B0777" w:rsidRPr="00FF30CE" w:rsidRDefault="002B0777" w:rsidP="00840613">
            <w:pPr>
              <w:spacing w:after="0"/>
              <w:jc w:val="center"/>
              <w:rPr>
                <w:color w:val="000000"/>
              </w:rPr>
            </w:pPr>
            <w:r w:rsidRPr="00FF30CE">
              <w:t>n/a*</w:t>
            </w:r>
          </w:p>
        </w:tc>
        <w:tc>
          <w:tcPr>
            <w:tcW w:w="1025" w:type="dxa"/>
            <w:tcBorders>
              <w:top w:val="nil"/>
              <w:left w:val="nil"/>
              <w:bottom w:val="dotted" w:sz="4" w:space="0" w:color="000000" w:themeColor="text1"/>
              <w:right w:val="single" w:sz="8" w:space="0" w:color="000000" w:themeColor="text1"/>
            </w:tcBorders>
            <w:shd w:val="clear" w:color="auto" w:fill="auto"/>
            <w:vAlign w:val="center"/>
          </w:tcPr>
          <w:p w14:paraId="4B38DB4E" w14:textId="1DFB84AF" w:rsidR="002B0777" w:rsidRPr="00FF30CE" w:rsidRDefault="002B0777" w:rsidP="00840613">
            <w:pPr>
              <w:spacing w:after="0"/>
              <w:jc w:val="center"/>
              <w:rPr>
                <w:color w:val="000000"/>
              </w:rPr>
            </w:pPr>
            <w:r w:rsidRPr="00FF30CE">
              <w:t>n/a*</w:t>
            </w:r>
          </w:p>
        </w:tc>
        <w:tc>
          <w:tcPr>
            <w:tcW w:w="875" w:type="dxa"/>
            <w:tcBorders>
              <w:top w:val="nil"/>
              <w:left w:val="nil"/>
              <w:bottom w:val="dotted" w:sz="4" w:space="0" w:color="000000" w:themeColor="text1"/>
              <w:right w:val="single" w:sz="8" w:space="0" w:color="000000" w:themeColor="text1"/>
            </w:tcBorders>
            <w:shd w:val="clear" w:color="auto" w:fill="auto"/>
            <w:vAlign w:val="center"/>
          </w:tcPr>
          <w:p w14:paraId="4B38DB4F" w14:textId="551DEE63" w:rsidR="002B0777" w:rsidRPr="00FF30CE" w:rsidRDefault="002B0777" w:rsidP="00840613">
            <w:pPr>
              <w:spacing w:after="0"/>
              <w:jc w:val="center"/>
              <w:rPr>
                <w:color w:val="000000"/>
              </w:rPr>
            </w:pPr>
            <w:r w:rsidRPr="00FF30CE">
              <w:t>n/a*</w:t>
            </w:r>
          </w:p>
        </w:tc>
        <w:tc>
          <w:tcPr>
            <w:tcW w:w="1975" w:type="dxa"/>
            <w:tcBorders>
              <w:top w:val="nil"/>
              <w:left w:val="nil"/>
              <w:bottom w:val="dotted" w:sz="4" w:space="0" w:color="000000" w:themeColor="text1"/>
              <w:right w:val="single" w:sz="8" w:space="0" w:color="000000" w:themeColor="text1"/>
            </w:tcBorders>
            <w:shd w:val="clear" w:color="auto" w:fill="auto"/>
            <w:vAlign w:val="center"/>
          </w:tcPr>
          <w:p w14:paraId="4B38DB50" w14:textId="784F2A5F" w:rsidR="002B0777" w:rsidRPr="00FF30CE" w:rsidRDefault="002B0777" w:rsidP="00840613">
            <w:pPr>
              <w:spacing w:after="0"/>
              <w:jc w:val="center"/>
              <w:rPr>
                <w:color w:val="000000"/>
              </w:rPr>
            </w:pPr>
            <w:r w:rsidRPr="00FF30CE">
              <w:rPr>
                <w:color w:val="000000"/>
              </w:rPr>
              <w:t>n/a*</w:t>
            </w:r>
          </w:p>
        </w:tc>
        <w:tc>
          <w:tcPr>
            <w:tcW w:w="1588" w:type="dxa"/>
            <w:tcBorders>
              <w:top w:val="nil"/>
              <w:left w:val="nil"/>
              <w:bottom w:val="dotted" w:sz="4" w:space="0" w:color="000000" w:themeColor="text1"/>
            </w:tcBorders>
            <w:shd w:val="clear" w:color="auto" w:fill="auto"/>
            <w:vAlign w:val="center"/>
          </w:tcPr>
          <w:p w14:paraId="4B38DB51" w14:textId="1019799F" w:rsidR="002B0777" w:rsidRPr="00FF30CE" w:rsidRDefault="002B0777" w:rsidP="00840613">
            <w:pPr>
              <w:spacing w:after="0"/>
              <w:jc w:val="center"/>
              <w:rPr>
                <w:color w:val="000000"/>
              </w:rPr>
            </w:pPr>
            <w:r w:rsidRPr="00FF30CE">
              <w:t>n/a*</w:t>
            </w:r>
          </w:p>
        </w:tc>
      </w:tr>
      <w:tr w:rsidR="002B0777" w14:paraId="4B38DB5B" w14:textId="77777777" w:rsidTr="000935E9">
        <w:trPr>
          <w:trHeight w:val="310"/>
          <w:jc w:val="center"/>
        </w:trPr>
        <w:tc>
          <w:tcPr>
            <w:tcW w:w="1888" w:type="dxa"/>
            <w:vMerge/>
            <w:tcBorders>
              <w:left w:val="nil"/>
              <w:right w:val="single" w:sz="8" w:space="0" w:color="000000" w:themeColor="text1"/>
            </w:tcBorders>
            <w:shd w:val="clear" w:color="auto" w:fill="auto"/>
            <w:vAlign w:val="center"/>
          </w:tcPr>
          <w:p w14:paraId="4B38DB53" w14:textId="6267E19C" w:rsidR="002B0777" w:rsidRPr="00FF30CE" w:rsidRDefault="002B0777" w:rsidP="00214E42">
            <w:pPr>
              <w:spacing w:after="0"/>
              <w:rPr>
                <w:color w:val="000000"/>
              </w:rPr>
            </w:pPr>
          </w:p>
        </w:tc>
        <w:tc>
          <w:tcPr>
            <w:tcW w:w="1442" w:type="dxa"/>
            <w:tcBorders>
              <w:top w:val="dotted" w:sz="4" w:space="0" w:color="000000" w:themeColor="text1"/>
              <w:left w:val="single" w:sz="8" w:space="0" w:color="000000" w:themeColor="text1"/>
              <w:bottom w:val="dotted" w:sz="4" w:space="0" w:color="000000" w:themeColor="text1"/>
              <w:right w:val="single" w:sz="8" w:space="0" w:color="000000" w:themeColor="text1"/>
            </w:tcBorders>
            <w:shd w:val="clear" w:color="auto" w:fill="auto"/>
          </w:tcPr>
          <w:p w14:paraId="4B38DB54" w14:textId="343AEBD2" w:rsidR="002B0777" w:rsidRPr="00FF30CE" w:rsidRDefault="002B0777" w:rsidP="00214E42">
            <w:pPr>
              <w:spacing w:after="0"/>
              <w:rPr>
                <w:color w:val="000000"/>
              </w:rPr>
            </w:pPr>
            <w:r w:rsidRPr="00FF30CE">
              <w:t>24m: (23.1)</w:t>
            </w:r>
          </w:p>
        </w:tc>
        <w:tc>
          <w:tcPr>
            <w:tcW w:w="897"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55" w14:textId="54D1748C" w:rsidR="002B0777" w:rsidRPr="00FF30CE" w:rsidRDefault="002B0777" w:rsidP="00840613">
            <w:pPr>
              <w:spacing w:after="0"/>
              <w:jc w:val="center"/>
              <w:rPr>
                <w:color w:val="000000"/>
              </w:rPr>
            </w:pPr>
            <w:r w:rsidRPr="00FF30CE">
              <w:t>12.7%</w:t>
            </w:r>
          </w:p>
        </w:tc>
        <w:tc>
          <w:tcPr>
            <w:tcW w:w="1618"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56" w14:textId="22F528FA" w:rsidR="002B0777" w:rsidRPr="00FF30CE" w:rsidRDefault="002B0777" w:rsidP="00840613">
            <w:pPr>
              <w:spacing w:after="0"/>
              <w:jc w:val="center"/>
              <w:rPr>
                <w:color w:val="000000"/>
              </w:rPr>
            </w:pPr>
            <w:r w:rsidRPr="00FF30CE">
              <w:t>91.8% (N=159)</w:t>
            </w:r>
          </w:p>
        </w:tc>
        <w:tc>
          <w:tcPr>
            <w:tcW w:w="102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57" w14:textId="2DA4977F" w:rsidR="002B0777" w:rsidRPr="00FF30CE" w:rsidRDefault="002B0777" w:rsidP="00840613">
            <w:pPr>
              <w:spacing w:after="0"/>
              <w:jc w:val="center"/>
              <w:rPr>
                <w:color w:val="000000"/>
              </w:rPr>
            </w:pPr>
            <w:r w:rsidRPr="00FF30CE">
              <w:t>59.7%</w:t>
            </w:r>
          </w:p>
        </w:tc>
        <w:tc>
          <w:tcPr>
            <w:tcW w:w="875"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4B38DB58" w14:textId="3008A0DA" w:rsidR="002B0777" w:rsidRPr="00FF30CE" w:rsidRDefault="002B0777" w:rsidP="00840613">
            <w:pPr>
              <w:spacing w:after="0"/>
              <w:jc w:val="center"/>
              <w:rPr>
                <w:color w:val="000000"/>
              </w:rPr>
            </w:pPr>
            <w:r w:rsidRPr="00FF30CE">
              <w:t>62.2%</w:t>
            </w:r>
          </w:p>
        </w:tc>
        <w:tc>
          <w:tcPr>
            <w:tcW w:w="1975" w:type="dxa"/>
            <w:tcBorders>
              <w:top w:val="dotted" w:sz="4" w:space="0" w:color="000000" w:themeColor="text1"/>
              <w:left w:val="single" w:sz="8" w:space="0" w:color="000000" w:themeColor="text1"/>
              <w:bottom w:val="dotted" w:sz="4" w:space="0" w:color="000000" w:themeColor="text1"/>
              <w:right w:val="single" w:sz="8" w:space="0" w:color="000000" w:themeColor="text1"/>
            </w:tcBorders>
            <w:shd w:val="clear" w:color="auto" w:fill="auto"/>
            <w:vAlign w:val="center"/>
          </w:tcPr>
          <w:p w14:paraId="4B38DB59" w14:textId="28914B09" w:rsidR="002B0777" w:rsidRPr="00FF30CE" w:rsidRDefault="002B0777" w:rsidP="00840613">
            <w:pPr>
              <w:spacing w:after="0"/>
              <w:jc w:val="center"/>
              <w:rPr>
                <w:color w:val="000000"/>
              </w:rPr>
            </w:pPr>
            <w:r w:rsidRPr="00FF30CE">
              <w:rPr>
                <w:color w:val="000000"/>
              </w:rPr>
              <w:t>11.3 (6.5-16.1)</w:t>
            </w:r>
          </w:p>
        </w:tc>
        <w:tc>
          <w:tcPr>
            <w:tcW w:w="1588" w:type="dxa"/>
            <w:tcBorders>
              <w:top w:val="dotted" w:sz="4" w:space="0" w:color="000000" w:themeColor="text1"/>
              <w:left w:val="nil"/>
              <w:bottom w:val="dotted" w:sz="4" w:space="0" w:color="000000" w:themeColor="text1"/>
            </w:tcBorders>
            <w:shd w:val="clear" w:color="auto" w:fill="auto"/>
            <w:vAlign w:val="center"/>
          </w:tcPr>
          <w:p w14:paraId="4B38DB5A" w14:textId="28F0CBE0" w:rsidR="002B0777" w:rsidRPr="005E3076" w:rsidRDefault="002B0777" w:rsidP="00840613">
            <w:pPr>
              <w:spacing w:after="0"/>
              <w:jc w:val="center"/>
              <w:rPr>
                <w:color w:val="000000"/>
              </w:rPr>
            </w:pPr>
            <w:r w:rsidRPr="005E3076">
              <w:rPr>
                <w:rFonts w:cs="Calibri"/>
                <w:color w:val="000000"/>
              </w:rPr>
              <w:t>1.3 (1.2-1.5)</w:t>
            </w:r>
            <w:r w:rsidRPr="005E3076">
              <w:rPr>
                <w:color w:val="000000"/>
                <w:vertAlign w:val="superscript"/>
              </w:rPr>
              <w:t xml:space="preserve"> b</w:t>
            </w:r>
          </w:p>
        </w:tc>
      </w:tr>
      <w:tr w:rsidR="002B0777" w14:paraId="21439291" w14:textId="77777777" w:rsidTr="000935E9">
        <w:trPr>
          <w:trHeight w:val="310"/>
          <w:jc w:val="center"/>
        </w:trPr>
        <w:tc>
          <w:tcPr>
            <w:tcW w:w="1888" w:type="dxa"/>
            <w:vMerge/>
            <w:tcBorders>
              <w:left w:val="nil"/>
              <w:bottom w:val="single" w:sz="8" w:space="0" w:color="000000" w:themeColor="text1"/>
              <w:right w:val="single" w:sz="8" w:space="0" w:color="000000" w:themeColor="text1"/>
            </w:tcBorders>
            <w:shd w:val="clear" w:color="auto" w:fill="auto"/>
            <w:vAlign w:val="center"/>
          </w:tcPr>
          <w:p w14:paraId="6A971A20" w14:textId="77777777" w:rsidR="002B0777" w:rsidRPr="00FF30CE" w:rsidRDefault="002B0777" w:rsidP="00D07EC0">
            <w:pPr>
              <w:spacing w:after="0"/>
              <w:rPr>
                <w:color w:val="000000"/>
              </w:rPr>
            </w:pPr>
          </w:p>
        </w:tc>
        <w:tc>
          <w:tcPr>
            <w:tcW w:w="1442" w:type="dxa"/>
            <w:tcBorders>
              <w:top w:val="dotted"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D23A28" w14:textId="1D8F9C04" w:rsidR="002B0777" w:rsidRPr="00FF30CE" w:rsidRDefault="002B0777" w:rsidP="00D07EC0">
            <w:pPr>
              <w:spacing w:after="0"/>
            </w:pPr>
            <w:r w:rsidRPr="00FF30CE">
              <w:t>36m: (35.0)</w:t>
            </w:r>
          </w:p>
        </w:tc>
        <w:tc>
          <w:tcPr>
            <w:tcW w:w="897" w:type="dxa"/>
            <w:tcBorders>
              <w:top w:val="dotted" w:sz="4" w:space="0" w:color="000000" w:themeColor="text1"/>
              <w:left w:val="nil"/>
              <w:bottom w:val="single" w:sz="8" w:space="0" w:color="000000" w:themeColor="text1"/>
              <w:right w:val="single" w:sz="8" w:space="0" w:color="000000" w:themeColor="text1"/>
            </w:tcBorders>
            <w:shd w:val="clear" w:color="auto" w:fill="auto"/>
            <w:vAlign w:val="center"/>
          </w:tcPr>
          <w:p w14:paraId="390DE606" w14:textId="377458C3" w:rsidR="002B0777" w:rsidRPr="00FF30CE" w:rsidRDefault="002B0777" w:rsidP="00840613">
            <w:pPr>
              <w:spacing w:after="0"/>
              <w:jc w:val="center"/>
            </w:pPr>
            <w:r w:rsidRPr="00FF30CE">
              <w:t>22.9%</w:t>
            </w:r>
          </w:p>
        </w:tc>
        <w:tc>
          <w:tcPr>
            <w:tcW w:w="1618" w:type="dxa"/>
            <w:tcBorders>
              <w:top w:val="dotted" w:sz="4" w:space="0" w:color="000000" w:themeColor="text1"/>
              <w:left w:val="nil"/>
              <w:bottom w:val="dotted" w:sz="4" w:space="0" w:color="000000" w:themeColor="text1"/>
              <w:right w:val="single" w:sz="8" w:space="0" w:color="000000" w:themeColor="text1"/>
            </w:tcBorders>
            <w:shd w:val="clear" w:color="auto" w:fill="auto"/>
            <w:vAlign w:val="center"/>
          </w:tcPr>
          <w:p w14:paraId="653E57AF" w14:textId="12508BCE" w:rsidR="002B0777" w:rsidRPr="00FF30CE" w:rsidRDefault="002B0777" w:rsidP="00840613">
            <w:pPr>
              <w:spacing w:after="0"/>
              <w:jc w:val="center"/>
            </w:pPr>
            <w:r w:rsidRPr="00FF30CE">
              <w:t>89.7% (N=97)</w:t>
            </w:r>
          </w:p>
        </w:tc>
        <w:tc>
          <w:tcPr>
            <w:tcW w:w="1025" w:type="dxa"/>
            <w:tcBorders>
              <w:top w:val="dotted" w:sz="4" w:space="0" w:color="000000" w:themeColor="text1"/>
              <w:left w:val="nil"/>
              <w:bottom w:val="single" w:sz="8" w:space="0" w:color="000000" w:themeColor="text1"/>
              <w:right w:val="single" w:sz="8" w:space="0" w:color="000000" w:themeColor="text1"/>
            </w:tcBorders>
            <w:shd w:val="clear" w:color="auto" w:fill="auto"/>
            <w:vAlign w:val="center"/>
          </w:tcPr>
          <w:p w14:paraId="23B6B6CF" w14:textId="19CC33FC" w:rsidR="002B0777" w:rsidRPr="00FF30CE" w:rsidRDefault="002B0777" w:rsidP="00840613">
            <w:pPr>
              <w:spacing w:after="0"/>
              <w:jc w:val="center"/>
            </w:pPr>
            <w:r w:rsidRPr="00FF30CE">
              <w:t>67.9%</w:t>
            </w:r>
          </w:p>
        </w:tc>
        <w:tc>
          <w:tcPr>
            <w:tcW w:w="875" w:type="dxa"/>
            <w:tcBorders>
              <w:top w:val="dotted" w:sz="4" w:space="0" w:color="000000" w:themeColor="text1"/>
              <w:left w:val="nil"/>
              <w:bottom w:val="single" w:sz="8" w:space="0" w:color="000000" w:themeColor="text1"/>
              <w:right w:val="single" w:sz="8" w:space="0" w:color="000000" w:themeColor="text1"/>
            </w:tcBorders>
            <w:shd w:val="clear" w:color="auto" w:fill="auto"/>
            <w:vAlign w:val="center"/>
          </w:tcPr>
          <w:p w14:paraId="338FDBB2" w14:textId="204B140D" w:rsidR="002B0777" w:rsidRPr="00FF30CE" w:rsidRDefault="002B0777" w:rsidP="00840613">
            <w:pPr>
              <w:spacing w:after="0"/>
              <w:jc w:val="center"/>
            </w:pPr>
            <w:r w:rsidRPr="00FF30CE">
              <w:t>81.0%</w:t>
            </w:r>
          </w:p>
        </w:tc>
        <w:tc>
          <w:tcPr>
            <w:tcW w:w="1975" w:type="dxa"/>
            <w:tcBorders>
              <w:top w:val="dotted"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EC13DB" w14:textId="11FE3597" w:rsidR="002B0777" w:rsidRPr="00FF30CE" w:rsidRDefault="00F00547" w:rsidP="00AB4022">
            <w:pPr>
              <w:spacing w:after="0"/>
              <w:jc w:val="center"/>
              <w:rPr>
                <w:color w:val="000000"/>
              </w:rPr>
            </w:pPr>
            <w:r w:rsidRPr="00FF30CE">
              <w:rPr>
                <w:color w:val="000000"/>
              </w:rPr>
              <w:t>19.8 (9.5</w:t>
            </w:r>
            <w:r w:rsidR="00281A2E" w:rsidRPr="00FF30CE">
              <w:rPr>
                <w:color w:val="000000"/>
              </w:rPr>
              <w:t>-30.1)</w:t>
            </w:r>
          </w:p>
        </w:tc>
        <w:tc>
          <w:tcPr>
            <w:tcW w:w="1588" w:type="dxa"/>
            <w:tcBorders>
              <w:top w:val="dotted" w:sz="4" w:space="0" w:color="000000" w:themeColor="text1"/>
              <w:left w:val="nil"/>
              <w:bottom w:val="single" w:sz="8" w:space="0" w:color="000000" w:themeColor="text1"/>
            </w:tcBorders>
            <w:shd w:val="clear" w:color="auto" w:fill="F2F2F2" w:themeFill="background1" w:themeFillShade="F2"/>
            <w:vAlign w:val="center"/>
          </w:tcPr>
          <w:p w14:paraId="6BC28A61" w14:textId="0346EA63" w:rsidR="002B0777" w:rsidRPr="005E3076" w:rsidRDefault="00B574AD" w:rsidP="00AB4022">
            <w:pPr>
              <w:spacing w:after="0"/>
              <w:jc w:val="center"/>
              <w:rPr>
                <w:rFonts w:cs="Calibri"/>
                <w:color w:val="000000"/>
              </w:rPr>
            </w:pPr>
            <w:r w:rsidRPr="005E3076">
              <w:rPr>
                <w:rFonts w:cs="Calibri"/>
                <w:color w:val="000000"/>
              </w:rPr>
              <w:t>1.0 (0.8-1.2)</w:t>
            </w:r>
            <w:r w:rsidRPr="005E3076">
              <w:rPr>
                <w:color w:val="000000"/>
                <w:vertAlign w:val="superscript"/>
              </w:rPr>
              <w:t xml:space="preserve"> b</w:t>
            </w:r>
          </w:p>
        </w:tc>
      </w:tr>
      <w:tr w:rsidR="00C12A95" w:rsidRPr="00BF0593" w14:paraId="4B38DB60" w14:textId="77777777" w:rsidTr="2F174C3F">
        <w:trPr>
          <w:trHeight w:val="310"/>
          <w:jc w:val="center"/>
        </w:trPr>
        <w:tc>
          <w:tcPr>
            <w:tcW w:w="11308" w:type="dxa"/>
            <w:gridSpan w:val="8"/>
            <w:tcBorders>
              <w:top w:val="single" w:sz="8" w:space="0" w:color="000000" w:themeColor="text1"/>
              <w:left w:val="nil"/>
              <w:bottom w:val="single" w:sz="8" w:space="0" w:color="000000" w:themeColor="text1"/>
              <w:right w:val="nil"/>
            </w:tcBorders>
            <w:shd w:val="clear" w:color="auto" w:fill="auto"/>
            <w:vAlign w:val="center"/>
          </w:tcPr>
          <w:p w14:paraId="1A5FC05B" w14:textId="71C3EDD7" w:rsidR="00B06591" w:rsidRDefault="008D6B34">
            <w:pPr>
              <w:spacing w:after="0"/>
              <w:rPr>
                <w:color w:val="000000"/>
                <w:sz w:val="20"/>
                <w:szCs w:val="20"/>
              </w:rPr>
            </w:pPr>
            <w:r>
              <w:rPr>
                <w:color w:val="000000"/>
                <w:sz w:val="20"/>
                <w:szCs w:val="20"/>
                <w:vertAlign w:val="superscript"/>
              </w:rPr>
              <w:t>a</w:t>
            </w:r>
            <w:r w:rsidR="00D0770C" w:rsidRPr="00BF0593">
              <w:rPr>
                <w:color w:val="000000"/>
                <w:sz w:val="20"/>
                <w:szCs w:val="20"/>
              </w:rPr>
              <w:t xml:space="preserve"> </w:t>
            </w:r>
            <w:r w:rsidR="00B06591" w:rsidRPr="00B06591">
              <w:rPr>
                <w:color w:val="000000"/>
                <w:sz w:val="20"/>
                <w:szCs w:val="20"/>
              </w:rPr>
              <w:t>PBO content (manufactured with 10 g/kg in all panels, with an acceptable range of 7.5 g/kg - 12.5 g/kg)</w:t>
            </w:r>
          </w:p>
          <w:p w14:paraId="064FDEEA" w14:textId="048834D7" w:rsidR="00C12A95" w:rsidRDefault="008D6B34">
            <w:pPr>
              <w:spacing w:after="0"/>
              <w:rPr>
                <w:color w:val="000000"/>
                <w:sz w:val="20"/>
                <w:szCs w:val="20"/>
              </w:rPr>
            </w:pPr>
            <w:r>
              <w:rPr>
                <w:color w:val="000000" w:themeColor="text1"/>
                <w:sz w:val="20"/>
                <w:szCs w:val="20"/>
                <w:vertAlign w:val="superscript"/>
              </w:rPr>
              <w:t>b</w:t>
            </w:r>
            <w:r w:rsidR="00D0770C" w:rsidRPr="2F174C3F">
              <w:rPr>
                <w:color w:val="000000" w:themeColor="text1"/>
                <w:sz w:val="20"/>
                <w:szCs w:val="20"/>
              </w:rPr>
              <w:t xml:space="preserve"> </w:t>
            </w:r>
            <w:r w:rsidR="000E1A67" w:rsidRPr="00B06591">
              <w:rPr>
                <w:color w:val="000000"/>
                <w:sz w:val="20"/>
                <w:szCs w:val="20"/>
              </w:rPr>
              <w:t xml:space="preserve">PBO content (manufactured with </w:t>
            </w:r>
            <w:r w:rsidR="000E1A67">
              <w:rPr>
                <w:color w:val="000000"/>
                <w:sz w:val="20"/>
                <w:szCs w:val="20"/>
              </w:rPr>
              <w:t>2.2</w:t>
            </w:r>
            <w:r w:rsidR="000E1A67" w:rsidRPr="00B06591">
              <w:rPr>
                <w:color w:val="000000"/>
                <w:sz w:val="20"/>
                <w:szCs w:val="20"/>
              </w:rPr>
              <w:t xml:space="preserve"> g/kg in all panels, with an acceptable range of </w:t>
            </w:r>
            <w:r w:rsidR="004D17A9">
              <w:rPr>
                <w:color w:val="000000"/>
                <w:sz w:val="20"/>
                <w:szCs w:val="20"/>
              </w:rPr>
              <w:t>1.65</w:t>
            </w:r>
            <w:r w:rsidR="000E1A67" w:rsidRPr="00B06591">
              <w:rPr>
                <w:color w:val="000000"/>
                <w:sz w:val="20"/>
                <w:szCs w:val="20"/>
              </w:rPr>
              <w:t xml:space="preserve"> g/kg </w:t>
            </w:r>
            <w:r w:rsidR="004D17A9">
              <w:rPr>
                <w:color w:val="000000"/>
                <w:sz w:val="20"/>
                <w:szCs w:val="20"/>
              </w:rPr>
              <w:t>–</w:t>
            </w:r>
            <w:r w:rsidR="000E1A67" w:rsidRPr="00B06591">
              <w:rPr>
                <w:color w:val="000000"/>
                <w:sz w:val="20"/>
                <w:szCs w:val="20"/>
              </w:rPr>
              <w:t xml:space="preserve"> </w:t>
            </w:r>
            <w:r w:rsidR="004D17A9">
              <w:rPr>
                <w:color w:val="000000"/>
                <w:sz w:val="20"/>
                <w:szCs w:val="20"/>
              </w:rPr>
              <w:t>2.75</w:t>
            </w:r>
            <w:r w:rsidR="000E1A67" w:rsidRPr="00B06591">
              <w:rPr>
                <w:color w:val="000000"/>
                <w:sz w:val="20"/>
                <w:szCs w:val="20"/>
              </w:rPr>
              <w:t xml:space="preserve"> g/kg)</w:t>
            </w:r>
          </w:p>
          <w:p w14:paraId="7297EC0D" w14:textId="6C1F98E9" w:rsidR="00063345" w:rsidRPr="00A92DF5" w:rsidRDefault="00A92DF5">
            <w:pPr>
              <w:spacing w:after="0"/>
              <w:rPr>
                <w:bCs/>
                <w:sz w:val="20"/>
                <w:szCs w:val="20"/>
              </w:rPr>
            </w:pPr>
            <w:r w:rsidRPr="00A92DF5">
              <w:rPr>
                <w:bCs/>
                <w:sz w:val="20"/>
                <w:szCs w:val="20"/>
                <w:vertAlign w:val="superscript"/>
              </w:rPr>
              <w:t>γ</w:t>
            </w:r>
            <w:r>
              <w:rPr>
                <w:bCs/>
                <w:sz w:val="20"/>
                <w:szCs w:val="20"/>
                <w:vertAlign w:val="superscript"/>
              </w:rPr>
              <w:t xml:space="preserve"> </w:t>
            </w:r>
            <w:r w:rsidR="007D561F">
              <w:rPr>
                <w:color w:val="000000"/>
              </w:rPr>
              <w:t>Result for 24-hour mortality when tested against the resistant strain using cone bioassays</w:t>
            </w:r>
          </w:p>
          <w:p w14:paraId="4B38DB5F" w14:textId="0CA61D6D" w:rsidR="00561092" w:rsidRPr="00A5680C" w:rsidRDefault="008C6F08">
            <w:pPr>
              <w:spacing w:after="0"/>
              <w:rPr>
                <w:rFonts w:eastAsia="Times New Roman" w:cs="Calibri"/>
                <w:color w:val="000000"/>
                <w:sz w:val="18"/>
                <w:szCs w:val="18"/>
              </w:rPr>
            </w:pPr>
            <w:r w:rsidRPr="008C6F08">
              <w:rPr>
                <w:color w:val="000000"/>
                <w:sz w:val="20"/>
                <w:szCs w:val="20"/>
              </w:rPr>
              <w:t>*The 12-month survey was not conducted in Serenje given the short time that had elapsed between the conclusion of the baseline survey and the planned 12-month survey.</w:t>
            </w:r>
          </w:p>
        </w:tc>
      </w:tr>
    </w:tbl>
    <w:p w14:paraId="4B38DB62" w14:textId="0B13A7BA" w:rsidR="00C12A95" w:rsidRDefault="00D0770C">
      <w:pPr>
        <w:pStyle w:val="Heading2"/>
        <w:ind w:left="720" w:hanging="720"/>
      </w:pPr>
      <w:r>
        <w:t>Key Risk Factors for Cohort ITN Physical Durability</w:t>
      </w:r>
    </w:p>
    <w:p w14:paraId="224109FD" w14:textId="04BC50B7" w:rsidR="0080618F" w:rsidRPr="00D20684" w:rsidRDefault="0080618F" w:rsidP="00840613">
      <w:pPr>
        <w:pStyle w:val="1-BodyText"/>
        <w:numPr>
          <w:ilvl w:val="0"/>
          <w:numId w:val="2"/>
        </w:numPr>
        <w:spacing w:after="0"/>
        <w:jc w:val="both"/>
      </w:pPr>
      <w:r w:rsidRPr="00D20684">
        <w:t xml:space="preserve">Excessive washing of nets, particularly with cleaning agents such as detergent or bleach, can reduce insecticide effectiveness. Although this practice was widespread in both districts, it </w:t>
      </w:r>
      <w:r w:rsidR="002C5B7E" w:rsidRPr="00D20684">
        <w:t>was</w:t>
      </w:r>
      <w:r w:rsidRPr="00D20684">
        <w:t xml:space="preserve"> </w:t>
      </w:r>
      <w:r w:rsidR="00D26E3B">
        <w:t>significantly</w:t>
      </w:r>
      <w:r w:rsidR="00D26E3B" w:rsidRPr="00D20684">
        <w:t xml:space="preserve"> </w:t>
      </w:r>
      <w:r w:rsidRPr="00D20684">
        <w:t>more prevalent in Nyimba (94% versus 79% in Serenje</w:t>
      </w:r>
      <w:r w:rsidR="00176E56" w:rsidRPr="00D20684">
        <w:t>;</w:t>
      </w:r>
      <w:r w:rsidRPr="00D20684">
        <w:t xml:space="preserve"> p=0.031)</w:t>
      </w:r>
      <w:r w:rsidR="002C5B7E" w:rsidRPr="00D20684">
        <w:t xml:space="preserve"> at 36 months</w:t>
      </w:r>
      <w:r w:rsidRPr="00D20684">
        <w:t xml:space="preserve">. The use of detergent or bleach was </w:t>
      </w:r>
      <w:r w:rsidR="007365D4">
        <w:t xml:space="preserve">common </w:t>
      </w:r>
      <w:r w:rsidR="006471FC">
        <w:t xml:space="preserve">in both districts </w:t>
      </w:r>
      <w:r w:rsidRPr="00D20684">
        <w:t>(92% in Nyimba versus 83% in Serenje</w:t>
      </w:r>
      <w:r w:rsidR="00176E56" w:rsidRPr="00D20684">
        <w:t>;</w:t>
      </w:r>
      <w:r w:rsidRPr="00D20684">
        <w:t xml:space="preserve"> p=0.1904).</w:t>
      </w:r>
    </w:p>
    <w:p w14:paraId="1F6A1C27" w14:textId="5D81BB73" w:rsidR="00A3263E" w:rsidRPr="00D20684" w:rsidRDefault="00A3263E" w:rsidP="00840613">
      <w:pPr>
        <w:pStyle w:val="1-BodyText"/>
        <w:numPr>
          <w:ilvl w:val="0"/>
          <w:numId w:val="2"/>
        </w:numPr>
        <w:spacing w:after="0"/>
        <w:jc w:val="both"/>
      </w:pPr>
      <w:r w:rsidRPr="00D20684">
        <w:t xml:space="preserve">Hanging nets should be folded or tied when not in use to reduce the risk of damage. Among hanging ITNs, </w:t>
      </w:r>
      <w:r w:rsidR="00984331" w:rsidRPr="00D20684">
        <w:t xml:space="preserve">a </w:t>
      </w:r>
      <w:r w:rsidR="00D41004" w:rsidRPr="00D20684">
        <w:t>significa</w:t>
      </w:r>
      <w:r w:rsidR="00CA6F13" w:rsidRPr="00D20684">
        <w:t xml:space="preserve">ntly </w:t>
      </w:r>
      <w:r w:rsidR="00984331" w:rsidRPr="00D20684">
        <w:t>higher</w:t>
      </w:r>
      <w:r w:rsidRPr="00D20684">
        <w:t xml:space="preserve"> proportion</w:t>
      </w:r>
      <w:r w:rsidR="00C4583E" w:rsidRPr="00D20684">
        <w:t xml:space="preserve"> of </w:t>
      </w:r>
      <w:r w:rsidR="00CA6F13" w:rsidRPr="00D20684">
        <w:t>nets were</w:t>
      </w:r>
      <w:r w:rsidRPr="00D20684">
        <w:t xml:space="preserve"> not folded or tied up in </w:t>
      </w:r>
      <w:r w:rsidR="00C4583E" w:rsidRPr="00D20684">
        <w:t>Nyimba compared to Serenje</w:t>
      </w:r>
      <w:r w:rsidRPr="00D20684">
        <w:t xml:space="preserve"> at </w:t>
      </w:r>
      <w:r w:rsidR="00C4583E" w:rsidRPr="00D20684">
        <w:t>36</w:t>
      </w:r>
      <w:r w:rsidRPr="00D20684">
        <w:t xml:space="preserve"> months (</w:t>
      </w:r>
      <w:r w:rsidR="00D41004" w:rsidRPr="00D20684">
        <w:t>94</w:t>
      </w:r>
      <w:r w:rsidRPr="00D20684">
        <w:t xml:space="preserve">% in Nyimba, </w:t>
      </w:r>
      <w:r w:rsidR="00D41004" w:rsidRPr="00D20684">
        <w:t>61</w:t>
      </w:r>
      <w:r w:rsidRPr="00D20684">
        <w:t>% in Serenje</w:t>
      </w:r>
      <w:r w:rsidR="00176E56" w:rsidRPr="00D20684">
        <w:t>;</w:t>
      </w:r>
      <w:r w:rsidR="00D41004" w:rsidRPr="00D20684">
        <w:t xml:space="preserve"> p=0.003</w:t>
      </w:r>
      <w:r w:rsidRPr="00D20684">
        <w:t>).</w:t>
      </w:r>
    </w:p>
    <w:p w14:paraId="18549A7C" w14:textId="5BC39D50" w:rsidR="00BE2C06" w:rsidRPr="00D20684" w:rsidRDefault="00BE2C06" w:rsidP="00840613">
      <w:pPr>
        <w:pStyle w:val="1-BodyText"/>
        <w:numPr>
          <w:ilvl w:val="0"/>
          <w:numId w:val="2"/>
        </w:numPr>
        <w:spacing w:after="0"/>
        <w:jc w:val="both"/>
      </w:pPr>
      <w:r w:rsidRPr="00D20684">
        <w:t xml:space="preserve">Exposure to SBC net care messages, positive attitudes towards nets, and positive net care and repair attitudes </w:t>
      </w:r>
      <w:r w:rsidR="00402FF1">
        <w:t>ha</w:t>
      </w:r>
      <w:r w:rsidR="000711A7">
        <w:t>ve</w:t>
      </w:r>
      <w:r w:rsidR="00402FF1">
        <w:t xml:space="preserve"> been shown to be</w:t>
      </w:r>
      <w:r w:rsidR="00402FF1" w:rsidRPr="00D20684">
        <w:t xml:space="preserve"> </w:t>
      </w:r>
      <w:r w:rsidRPr="00D20684">
        <w:t>determinants associated with increased ITN surviva</w:t>
      </w:r>
      <w:r w:rsidR="007047DA">
        <w:t>l</w:t>
      </w:r>
      <w:r w:rsidR="000F3D63">
        <w:t>.</w:t>
      </w:r>
      <w:r w:rsidR="003D1421">
        <w:rPr>
          <w:rStyle w:val="FootnoteReference"/>
        </w:rPr>
        <w:footnoteReference w:id="5"/>
      </w:r>
      <w:r w:rsidR="00FF30CE">
        <w:rPr>
          <w:vertAlign w:val="superscript"/>
        </w:rPr>
        <w:t>,</w:t>
      </w:r>
      <w:r w:rsidR="004C593E">
        <w:rPr>
          <w:rStyle w:val="FootnoteReference"/>
        </w:rPr>
        <w:footnoteReference w:id="6"/>
      </w:r>
      <w:r w:rsidR="00FF30CE">
        <w:rPr>
          <w:vertAlign w:val="superscript"/>
        </w:rPr>
        <w:t>,</w:t>
      </w:r>
      <w:r w:rsidR="007A51F0">
        <w:rPr>
          <w:rStyle w:val="FootnoteReference"/>
        </w:rPr>
        <w:footnoteReference w:id="7"/>
      </w:r>
      <w:r w:rsidRPr="00D20684">
        <w:t xml:space="preserve"> In Nyimba, recall of SBC net care messages was higher compared to Serenje (54% versus 7%</w:t>
      </w:r>
      <w:r w:rsidR="00176E56" w:rsidRPr="00D20684">
        <w:t>;</w:t>
      </w:r>
      <w:r w:rsidRPr="00D20684">
        <w:t xml:space="preserve"> p&lt;0.001), along with positive attitudes towards nets (Nyimba 79% versus Serenje 61%</w:t>
      </w:r>
      <w:r w:rsidR="00CF512A" w:rsidRPr="00D20684">
        <w:t>;</w:t>
      </w:r>
      <w:r w:rsidRPr="00D20684">
        <w:t xml:space="preserve"> p=0.027) and positive net care and repair attitudes (Nyimba 74% versus Serenje 44%</w:t>
      </w:r>
      <w:r w:rsidR="00CF512A" w:rsidRPr="00D20684">
        <w:t>;</w:t>
      </w:r>
      <w:r w:rsidRPr="00D20684">
        <w:t xml:space="preserve"> p=0.003). </w:t>
      </w:r>
      <w:r w:rsidR="000711A7">
        <w:t>Multivaria</w:t>
      </w:r>
      <w:r w:rsidR="00154B2F">
        <w:t>ble</w:t>
      </w:r>
      <w:r w:rsidR="000711A7" w:rsidRPr="00D20684">
        <w:t xml:space="preserve"> </w:t>
      </w:r>
      <w:r w:rsidRPr="00D20684">
        <w:t xml:space="preserve">analysis </w:t>
      </w:r>
      <w:r w:rsidR="000711A7">
        <w:t xml:space="preserve">will be conducted for </w:t>
      </w:r>
      <w:r w:rsidR="003038A9">
        <w:t>the</w:t>
      </w:r>
      <w:r w:rsidR="00E4679F">
        <w:t xml:space="preserve"> manuscript</w:t>
      </w:r>
      <w:r w:rsidRPr="00D20684">
        <w:t xml:space="preserve"> to investigate</w:t>
      </w:r>
      <w:r w:rsidR="00FD4A04">
        <w:t xml:space="preserve"> these and other covariates and their significance in </w:t>
      </w:r>
      <w:r w:rsidR="003038A9">
        <w:t>ITN survival in the Zambian context.</w:t>
      </w:r>
    </w:p>
    <w:p w14:paraId="20C39E97" w14:textId="6F31986B" w:rsidR="001172CD" w:rsidRPr="00D20684" w:rsidRDefault="00CF512A" w:rsidP="008A442E">
      <w:pPr>
        <w:pStyle w:val="1-BodyText"/>
        <w:numPr>
          <w:ilvl w:val="0"/>
          <w:numId w:val="2"/>
        </w:numPr>
        <w:jc w:val="both"/>
      </w:pPr>
      <w:r w:rsidRPr="00D20684">
        <w:t xml:space="preserve">Households are encouraged to repair damaged nets. </w:t>
      </w:r>
      <w:r w:rsidR="001172CD" w:rsidRPr="00D20684">
        <w:t>Households in Nyimba reported significantly more discussions on net care and repair compared to Serenje (40% Nyimba, 19% Serenje</w:t>
      </w:r>
      <w:r w:rsidR="00176E56" w:rsidRPr="00D20684">
        <w:t>;</w:t>
      </w:r>
      <w:r w:rsidR="001172CD" w:rsidRPr="00D20684">
        <w:t xml:space="preserve"> p=0.044). Additionally, a higher proportion of households in Nyimba had ever repaired a net compared to Serenje at 36 months (53% Nyimba, 20% Serenje; p=0.001).</w:t>
      </w:r>
    </w:p>
    <w:p w14:paraId="62EC4525" w14:textId="1BD2B5CB" w:rsidR="00E31EAA" w:rsidRDefault="00E31EAA" w:rsidP="008A442E">
      <w:pPr>
        <w:pStyle w:val="1-BodyText"/>
        <w:numPr>
          <w:ilvl w:val="0"/>
          <w:numId w:val="2"/>
        </w:numPr>
        <w:jc w:val="both"/>
        <w:sectPr w:rsidR="00E31EAA" w:rsidSect="00F07D76">
          <w:footerReference w:type="default" r:id="rId20"/>
          <w:pgSz w:w="12240" w:h="15840"/>
          <w:pgMar w:top="1440" w:right="1152" w:bottom="1440" w:left="1152" w:header="720" w:footer="720" w:gutter="0"/>
          <w:pgNumType w:start="1"/>
          <w:cols w:space="720"/>
        </w:sectPr>
      </w:pPr>
    </w:p>
    <w:p w14:paraId="1F98DEBE" w14:textId="1E2A6DFE" w:rsidR="00C60051" w:rsidRDefault="00D0770C" w:rsidP="002337E9">
      <w:pPr>
        <w:pStyle w:val="Heading2"/>
        <w:ind w:left="720" w:hanging="720"/>
      </w:pPr>
      <w:r>
        <w:lastRenderedPageBreak/>
        <w:t>Cohort ITN Survival in Serviceable Condition</w:t>
      </w:r>
    </w:p>
    <w:p w14:paraId="2C3E152A" w14:textId="275EED89" w:rsidR="009A4C48" w:rsidRDefault="00F226AD" w:rsidP="006E5BD2">
      <w:pPr>
        <w:jc w:val="both"/>
      </w:pPr>
      <w:r w:rsidRPr="00F226AD">
        <w:t xml:space="preserve">The chart </w:t>
      </w:r>
      <w:r w:rsidR="00C276B2">
        <w:t>illustrates</w:t>
      </w:r>
      <w:r w:rsidRPr="00F226AD">
        <w:t xml:space="preserve"> the proportion of nets in serviceable condition over time, comparing actual survival data from baseline, 12-</w:t>
      </w:r>
      <w:r w:rsidR="00E006F3" w:rsidRPr="00F226AD">
        <w:t xml:space="preserve">, </w:t>
      </w:r>
      <w:r w:rsidR="00E006F3">
        <w:t xml:space="preserve">24- </w:t>
      </w:r>
      <w:r w:rsidRPr="00F226AD">
        <w:t xml:space="preserve">and </w:t>
      </w:r>
      <w:r w:rsidR="00E006F3">
        <w:t>36</w:t>
      </w:r>
      <w:r w:rsidRPr="00F226AD">
        <w:t xml:space="preserve">-month rounds with hypothetical survival curves for nets lasting one to four years. At </w:t>
      </w:r>
      <w:r w:rsidR="00E006F3">
        <w:t>36</w:t>
      </w:r>
      <w:r w:rsidRPr="00F226AD">
        <w:t xml:space="preserve"> months, the estimated median useful life for nets in Nyimba (Olyset® Plus) </w:t>
      </w:r>
      <w:r w:rsidR="00FE3063">
        <w:t>was</w:t>
      </w:r>
      <w:r w:rsidRPr="00F226AD">
        <w:t xml:space="preserve"> </w:t>
      </w:r>
      <w:r w:rsidR="003A14C8">
        <w:t>2.0</w:t>
      </w:r>
      <w:r w:rsidRPr="00F226AD">
        <w:t xml:space="preserve"> years</w:t>
      </w:r>
      <w:r w:rsidR="007806DB">
        <w:t xml:space="preserve"> (95% CI: 1.</w:t>
      </w:r>
      <w:r w:rsidR="00D7540D">
        <w:t>2</w:t>
      </w:r>
      <w:r w:rsidR="007806DB">
        <w:t>-2.</w:t>
      </w:r>
      <w:r w:rsidR="00D7540D">
        <w:t>5</w:t>
      </w:r>
      <w:r w:rsidR="007806DB">
        <w:t>)</w:t>
      </w:r>
      <w:r w:rsidRPr="00F226AD">
        <w:t xml:space="preserve">, while </w:t>
      </w:r>
      <w:r w:rsidR="00FE3063">
        <w:t>ITNs</w:t>
      </w:r>
      <w:r w:rsidRPr="00F226AD">
        <w:t xml:space="preserve"> in Serenje (Veeralin®) ha</w:t>
      </w:r>
      <w:r w:rsidR="00FE3063">
        <w:t>d</w:t>
      </w:r>
      <w:r w:rsidRPr="00F226AD">
        <w:t xml:space="preserve"> a median life of 2.</w:t>
      </w:r>
      <w:r w:rsidR="00D7540D">
        <w:t>8</w:t>
      </w:r>
      <w:r w:rsidRPr="00F226AD">
        <w:t xml:space="preserve"> years</w:t>
      </w:r>
      <w:r w:rsidR="007806DB" w:rsidRPr="007806DB">
        <w:t xml:space="preserve"> </w:t>
      </w:r>
      <w:r w:rsidR="007806DB">
        <w:t>(95% CI: 2.</w:t>
      </w:r>
      <w:r w:rsidR="00D7540D">
        <w:t>3</w:t>
      </w:r>
      <w:r w:rsidR="007806DB">
        <w:t>-</w:t>
      </w:r>
      <w:r w:rsidR="00D7540D">
        <w:t>3.</w:t>
      </w:r>
      <w:r w:rsidR="007806DB">
        <w:t>2)</w:t>
      </w:r>
      <w:r w:rsidRPr="00F226AD">
        <w:t xml:space="preserve">. </w:t>
      </w:r>
      <w:r w:rsidR="00C55BCC" w:rsidRPr="00C55BCC">
        <w:t xml:space="preserve">The </w:t>
      </w:r>
      <w:r w:rsidR="00E20DA7">
        <w:t>lower</w:t>
      </w:r>
      <w:r w:rsidR="00C55BCC" w:rsidRPr="00C55BCC">
        <w:t xml:space="preserve"> median survival time in Nyimba was likely due to fewer ITNs remaining in serviceable condition </w:t>
      </w:r>
      <w:r w:rsidR="00FD0F78">
        <w:t xml:space="preserve">and </w:t>
      </w:r>
      <w:r w:rsidR="0067366A">
        <w:t xml:space="preserve">fewer </w:t>
      </w:r>
      <w:r w:rsidR="00C55BCC" w:rsidRPr="00C55BCC">
        <w:t>surviving nets compared to Serenje.</w:t>
      </w:r>
      <w:r w:rsidRPr="00F226AD">
        <w:t xml:space="preserve"> </w:t>
      </w:r>
    </w:p>
    <w:p w14:paraId="25B5281F" w14:textId="7864386C" w:rsidR="006947E6" w:rsidRDefault="006947E6" w:rsidP="006947E6">
      <w:pPr>
        <w:jc w:val="center"/>
      </w:pPr>
      <w:r>
        <w:rPr>
          <w:noProof/>
        </w:rPr>
        <w:drawing>
          <wp:inline distT="0" distB="0" distL="0" distR="0" wp14:anchorId="37D571A2" wp14:editId="12752AFF">
            <wp:extent cx="5486400" cy="3981072"/>
            <wp:effectExtent l="0" t="0" r="0" b="635"/>
            <wp:docPr id="603866248" name="Chart 1">
              <a:extLst xmlns:a="http://schemas.openxmlformats.org/drawingml/2006/main">
                <a:ext uri="{FF2B5EF4-FFF2-40B4-BE49-F238E27FC236}">
                  <a16:creationId xmlns:a16="http://schemas.microsoft.com/office/drawing/2014/main" id="{00000000-0008-0000-1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EE4D9C" w14:textId="77777777" w:rsidR="00B814FF" w:rsidRDefault="00B814FF">
      <w:pPr>
        <w:rPr>
          <w:rFonts w:ascii="Gill Sans" w:hAnsi="Gill Sans"/>
          <w:i/>
          <w:color w:val="000000"/>
        </w:rPr>
        <w:sectPr w:rsidR="00B814FF" w:rsidSect="00F07D76">
          <w:pgSz w:w="12240" w:h="15840"/>
          <w:pgMar w:top="1440" w:right="1152" w:bottom="1440" w:left="1152" w:header="720" w:footer="720" w:gutter="0"/>
          <w:pgNumType w:start="1"/>
          <w:cols w:space="720"/>
          <w:docGrid w:linePitch="299"/>
        </w:sectPr>
      </w:pPr>
    </w:p>
    <w:p w14:paraId="3F9EEB60" w14:textId="2758FCD5" w:rsidR="00D22C86" w:rsidRDefault="00D22C86" w:rsidP="00D22C86">
      <w:pPr>
        <w:pStyle w:val="Heading2"/>
        <w:ind w:left="720" w:hanging="720"/>
        <w:jc w:val="center"/>
        <w:rPr>
          <w:snapToGrid/>
        </w:rPr>
      </w:pPr>
      <w:r w:rsidRPr="007652AA">
        <w:lastRenderedPageBreak/>
        <w:t>Bioassay</w:t>
      </w:r>
      <w:r w:rsidRPr="007652AA">
        <w:rPr>
          <w:snapToGrid/>
        </w:rPr>
        <w:t xml:space="preserve"> and Chemical Results: </w:t>
      </w:r>
      <w:r>
        <w:rPr>
          <w:snapToGrid/>
        </w:rPr>
        <w:t>Olyset® Plus</w:t>
      </w:r>
      <w:r w:rsidRPr="007652AA">
        <w:rPr>
          <w:snapToGrid/>
        </w:rPr>
        <w:t xml:space="preserve"> ITNs</w:t>
      </w:r>
    </w:p>
    <w:p w14:paraId="1C3746B2" w14:textId="5B2CEE03" w:rsidR="0057348A" w:rsidRDefault="0057348A" w:rsidP="00AF69ED">
      <w:pPr>
        <w:jc w:val="both"/>
      </w:pPr>
      <w:r>
        <w:t xml:space="preserve">Olyset® Plus are polyethylene ITNs that combine both permethrin and PBO-synergist on all panels. </w:t>
      </w:r>
      <w:r w:rsidRPr="00B9009B">
        <w:t xml:space="preserve">Cone bioassays </w:t>
      </w:r>
      <w:r>
        <w:t xml:space="preserve">were conducted with </w:t>
      </w:r>
      <w:r w:rsidRPr="00B9009B">
        <w:t>both pyrethroid-susceptible and -resistant mosquito strains</w:t>
      </w:r>
      <w:r w:rsidR="00066BE6">
        <w:rPr>
          <w:rStyle w:val="FootnoteReference"/>
        </w:rPr>
        <w:footnoteReference w:id="8"/>
      </w:r>
      <w:r w:rsidRPr="00B9009B">
        <w:t xml:space="preserve">, comparing field ITNs to new </w:t>
      </w:r>
      <w:r>
        <w:t>Olyset® Plus positive controls, pyrethroid-only Olyset®</w:t>
      </w:r>
      <w:r w:rsidRPr="00B9009B">
        <w:t xml:space="preserve"> positive controls and untreated </w:t>
      </w:r>
      <w:r>
        <w:t xml:space="preserve">Safi Net® </w:t>
      </w:r>
      <w:r w:rsidRPr="00B9009B">
        <w:t>negative control</w:t>
      </w:r>
      <w:r>
        <w:t>s</w:t>
      </w:r>
      <w:r w:rsidRPr="00B9009B">
        <w:t>.</w:t>
      </w:r>
      <w:r>
        <w:t xml:space="preserve"> </w:t>
      </w:r>
      <w:r w:rsidRPr="00B9009B">
        <w:t>KD60 and 24-hour mortality were assessed separately for susceptible and resistant strains</w:t>
      </w:r>
      <w:r>
        <w:t xml:space="preserve">. </w:t>
      </w:r>
      <w:r w:rsidRPr="00B9009B">
        <w:t xml:space="preserve">Against </w:t>
      </w:r>
      <w:r>
        <w:t xml:space="preserve">both susceptible and </w:t>
      </w:r>
      <w:r w:rsidRPr="00B9009B">
        <w:t xml:space="preserve">resistant </w:t>
      </w:r>
      <w:r>
        <w:t>strains</w:t>
      </w:r>
      <w:r w:rsidRPr="00B9009B">
        <w:t xml:space="preserve">, field </w:t>
      </w:r>
      <w:r>
        <w:t>ITNs</w:t>
      </w:r>
      <w:r w:rsidRPr="00B9009B">
        <w:t xml:space="preserve"> </w:t>
      </w:r>
      <w:r>
        <w:t>and both sets of positive controls demonstrated 100% KD60 at study endline. Mortality after 24-hours declined throughout the study for both susceptible and resistant mosquitoes</w:t>
      </w:r>
      <w:r w:rsidRPr="00697481">
        <w:t xml:space="preserve"> </w:t>
      </w:r>
      <w:r>
        <w:t xml:space="preserve">in field samples, although more so against the pyrethroid-resistant strain (Susceptible: 76% at baseline to 33% at endline; Resistant: 40% at baseline to 19% at endline). </w:t>
      </w:r>
    </w:p>
    <w:p w14:paraId="39CD61B1" w14:textId="44185CB4" w:rsidR="002D36AD" w:rsidRDefault="0057348A" w:rsidP="00AF69ED">
      <w:pPr>
        <w:pStyle w:val="1-BodyText"/>
        <w:jc w:val="both"/>
      </w:pPr>
      <w:r>
        <w:t xml:space="preserve">Olyset® Plus ITNs are manufactured with 20 g/kg of permethrin and 10 g/kg of PBO on all panels. After 36 months of field use, the mean chemical content of permethrin decreased to 10.2 g/kg, representing a 49% loss compared to the manufacturer target dose. Mean PBO concentration was measured at 1.7 g/kg, corresponding to an 83% loss of chemical content compared to the manufacturer target dose. </w:t>
      </w:r>
      <w:r w:rsidR="000C3C9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0A5CDA" w14:paraId="52FFDE66" w14:textId="77777777">
        <w:tc>
          <w:tcPr>
            <w:tcW w:w="6475" w:type="dxa"/>
            <w:vAlign w:val="center"/>
          </w:tcPr>
          <w:p w14:paraId="2B4777D1" w14:textId="6A7F184A" w:rsidR="00FB783F" w:rsidRDefault="00FB783F">
            <w:pPr>
              <w:pStyle w:val="1-BodyTextBoldCentered"/>
            </w:pPr>
            <w:r w:rsidRPr="00D74BDB">
              <w:t xml:space="preserve">24-hour mortality for field </w:t>
            </w:r>
            <w:r>
              <w:t>Olyset® Plus</w:t>
            </w:r>
            <w:r w:rsidRPr="00D74BDB">
              <w:t xml:space="preserve"> ITNs taken from </w:t>
            </w:r>
            <w:r>
              <w:t>Nyimba District</w:t>
            </w:r>
            <w:r w:rsidRPr="00D74BDB">
              <w:t xml:space="preserve">, </w:t>
            </w:r>
            <w:r>
              <w:t>Zambia</w:t>
            </w:r>
            <w:r w:rsidRPr="00D74BDB">
              <w:t xml:space="preserve"> </w:t>
            </w:r>
            <w:r w:rsidR="000F377C">
              <w:t xml:space="preserve">and control ITNs </w:t>
            </w:r>
            <w:r w:rsidRPr="00D74BDB">
              <w:t xml:space="preserve">against resistant </w:t>
            </w:r>
            <w:r w:rsidRPr="00D74BDB">
              <w:rPr>
                <w:i/>
              </w:rPr>
              <w:t xml:space="preserve">An. </w:t>
            </w:r>
            <w:r>
              <w:rPr>
                <w:i/>
              </w:rPr>
              <w:t>arabiensis</w:t>
            </w:r>
            <w:r w:rsidRPr="00D74BDB">
              <w:t xml:space="preserve"> mosquito</w:t>
            </w:r>
            <w:r>
              <w:t>e</w:t>
            </w:r>
            <w:r w:rsidRPr="00D74BDB">
              <w:t>s</w:t>
            </w:r>
          </w:p>
        </w:tc>
        <w:tc>
          <w:tcPr>
            <w:tcW w:w="6475" w:type="dxa"/>
            <w:vAlign w:val="center"/>
          </w:tcPr>
          <w:p w14:paraId="6FCC4798" w14:textId="2E0A979C" w:rsidR="00FB783F" w:rsidRPr="001C56E8" w:rsidRDefault="00FB783F">
            <w:pPr>
              <w:pStyle w:val="1-BodyTextBoldCentered"/>
            </w:pPr>
            <w:r>
              <w:t xml:space="preserve">Permethrin and PBO </w:t>
            </w:r>
            <w:r w:rsidRPr="001C56E8">
              <w:t xml:space="preserve">content from </w:t>
            </w:r>
            <w:r>
              <w:t>ITNs taken from Nyimba</w:t>
            </w:r>
            <w:r w:rsidRPr="001C56E8">
              <w:t xml:space="preserve"> District, </w:t>
            </w:r>
            <w:r>
              <w:t>Zambia</w:t>
            </w:r>
          </w:p>
          <w:p w14:paraId="0AE374AE" w14:textId="77777777" w:rsidR="00FB783F" w:rsidRDefault="00FB783F">
            <w:pPr>
              <w:pStyle w:val="1-BodyTextBoldCentered"/>
              <w:jc w:val="left"/>
            </w:pPr>
          </w:p>
        </w:tc>
      </w:tr>
      <w:tr w:rsidR="000A5CDA" w14:paraId="76BE9D5C" w14:textId="77777777">
        <w:tc>
          <w:tcPr>
            <w:tcW w:w="6475" w:type="dxa"/>
          </w:tcPr>
          <w:p w14:paraId="3D03C8D2" w14:textId="0995DA54" w:rsidR="00FB783F" w:rsidRDefault="004F0026">
            <w:pPr>
              <w:pStyle w:val="1-BodyText"/>
              <w:jc w:val="center"/>
            </w:pPr>
            <w:r>
              <w:rPr>
                <w:noProof/>
              </w:rPr>
              <w:drawing>
                <wp:inline distT="0" distB="0" distL="0" distR="0" wp14:anchorId="4DE12479" wp14:editId="37B0646B">
                  <wp:extent cx="3237230" cy="2359660"/>
                  <wp:effectExtent l="0" t="0" r="1270" b="2540"/>
                  <wp:docPr id="1678792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7230" cy="2359660"/>
                          </a:xfrm>
                          <a:prstGeom prst="rect">
                            <a:avLst/>
                          </a:prstGeom>
                          <a:noFill/>
                        </pic:spPr>
                      </pic:pic>
                    </a:graphicData>
                  </a:graphic>
                </wp:inline>
              </w:drawing>
            </w:r>
          </w:p>
          <w:p w14:paraId="553BEAFE" w14:textId="77777777" w:rsidR="00FB783F" w:rsidRPr="00434CA2" w:rsidRDefault="00FB783F">
            <w:pPr>
              <w:jc w:val="both"/>
              <w:rPr>
                <w:i/>
                <w:iCs/>
              </w:rPr>
            </w:pPr>
            <w:r w:rsidRPr="00121721">
              <w:rPr>
                <w:i/>
                <w:iCs/>
              </w:rPr>
              <w:t>Results from WHO cone bioassays: the box plot shows the median (line), interquartile range (box), adjacent values (whiskers) and outliers (circles).</w:t>
            </w:r>
          </w:p>
        </w:tc>
        <w:tc>
          <w:tcPr>
            <w:tcW w:w="6475" w:type="dxa"/>
          </w:tcPr>
          <w:p w14:paraId="76B2EFC8" w14:textId="57172EEA" w:rsidR="00FB783F" w:rsidRDefault="000A5CDA">
            <w:pPr>
              <w:pStyle w:val="1-BodyText"/>
              <w:jc w:val="center"/>
            </w:pPr>
            <w:r>
              <w:rPr>
                <w:noProof/>
              </w:rPr>
              <w:drawing>
                <wp:inline distT="0" distB="0" distL="0" distR="0" wp14:anchorId="54D28F86" wp14:editId="715EA384">
                  <wp:extent cx="3260035" cy="2371827"/>
                  <wp:effectExtent l="0" t="0" r="0" b="0"/>
                  <wp:docPr id="608909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5357" cy="2404801"/>
                          </a:xfrm>
                          <a:prstGeom prst="rect">
                            <a:avLst/>
                          </a:prstGeom>
                          <a:noFill/>
                          <a:ln>
                            <a:noFill/>
                          </a:ln>
                        </pic:spPr>
                      </pic:pic>
                    </a:graphicData>
                  </a:graphic>
                </wp:inline>
              </w:drawing>
            </w:r>
          </w:p>
          <w:p w14:paraId="49A5BFDF" w14:textId="77777777" w:rsidR="00FB783F" w:rsidRPr="00434CA2" w:rsidRDefault="00FB783F">
            <w:pPr>
              <w:jc w:val="both"/>
              <w:rPr>
                <w:i/>
                <w:iCs/>
              </w:rPr>
            </w:pPr>
            <w:r w:rsidRPr="009F2F9D">
              <w:rPr>
                <w:i/>
                <w:iCs/>
              </w:rPr>
              <w:t>Results from chemical testing: the box plot shows the median (line), interquartile range (box), adjacent values (whiskers) and outliers (circles), dotted lines represent manufacturer target doses for the corresponding insecticide or synergist, with colors aligned to the legend.</w:t>
            </w:r>
          </w:p>
        </w:tc>
      </w:tr>
    </w:tbl>
    <w:p w14:paraId="6512B5B2" w14:textId="77777777" w:rsidR="007C7E84" w:rsidRDefault="007C7E84" w:rsidP="009930C5">
      <w:pPr>
        <w:pStyle w:val="1-BodyText"/>
      </w:pPr>
    </w:p>
    <w:p w14:paraId="375047BF" w14:textId="164698CB" w:rsidR="00D22C86" w:rsidRDefault="00D22C86" w:rsidP="00D22C86">
      <w:pPr>
        <w:pStyle w:val="Heading2"/>
        <w:ind w:left="720" w:hanging="720"/>
        <w:jc w:val="center"/>
        <w:rPr>
          <w:snapToGrid/>
        </w:rPr>
      </w:pPr>
      <w:r w:rsidRPr="007652AA">
        <w:t>Bioassay</w:t>
      </w:r>
      <w:r w:rsidRPr="007652AA">
        <w:rPr>
          <w:snapToGrid/>
        </w:rPr>
        <w:t xml:space="preserve"> and Chemical Results: </w:t>
      </w:r>
      <w:r>
        <w:rPr>
          <w:snapToGrid/>
        </w:rPr>
        <w:t>Veeralin®</w:t>
      </w:r>
      <w:r w:rsidRPr="007652AA">
        <w:rPr>
          <w:snapToGrid/>
        </w:rPr>
        <w:t xml:space="preserve"> ITNs</w:t>
      </w:r>
    </w:p>
    <w:p w14:paraId="71727E0A" w14:textId="77777777" w:rsidR="0057348A" w:rsidRDefault="0057348A" w:rsidP="00AF69ED">
      <w:pPr>
        <w:jc w:val="both"/>
      </w:pPr>
      <w:r>
        <w:t xml:space="preserve">Veeralin® are polyethylene ITNs that combine both alpha-cypermethrin and PBO-synergist on all panels. Mosquito strain characterization and cone bioassay testing was conducted in the same manner described on the previous page. </w:t>
      </w:r>
      <w:r w:rsidRPr="00B9009B">
        <w:t xml:space="preserve">Against </w:t>
      </w:r>
      <w:r>
        <w:t xml:space="preserve">both susceptible and </w:t>
      </w:r>
      <w:r w:rsidRPr="00B9009B">
        <w:t xml:space="preserve">resistant </w:t>
      </w:r>
      <w:r>
        <w:t>strains</w:t>
      </w:r>
      <w:r w:rsidRPr="00B9009B">
        <w:t xml:space="preserve">, field </w:t>
      </w:r>
      <w:r>
        <w:t>ITNs</w:t>
      </w:r>
      <w:r w:rsidRPr="00B9009B">
        <w:t xml:space="preserve"> </w:t>
      </w:r>
      <w:r>
        <w:t>and the unwashed Veeralin® positive control demonstrated 100% KD60 at study endline. For field ITN samples, 24-hour mortality remained high against the susceptible strain but declined significantly against the resistant strain (Susceptible: 99% at baseline to 92% at endline; Resistant: 97% at baseline to 20% at endline).</w:t>
      </w:r>
    </w:p>
    <w:p w14:paraId="697C3470" w14:textId="29766C1C" w:rsidR="00FF616C" w:rsidRDefault="0057348A" w:rsidP="00AF69ED">
      <w:pPr>
        <w:pStyle w:val="1-BodyText"/>
        <w:jc w:val="both"/>
      </w:pPr>
      <w:r>
        <w:t>Veeralin® ITNs are manufactured with 6 g/kg of alpha-cypermethrin and 2.2 g/kg of PBO on all panels. After 36 months of field use, the mean chemical content of alpha-cypermethrin decreased to 4.7 g/kg, representing a 2</w:t>
      </w:r>
      <w:r w:rsidR="00893194">
        <w:t>2</w:t>
      </w:r>
      <w:r>
        <w:t xml:space="preserve">% loss compared to the manufacturer target dose. Mean PBO concentration was measured at 1.0 g/kg, corresponding to a 55% loss of chemical content compared to the manufacturer target dose. </w:t>
      </w:r>
      <w:r w:rsidR="00FF616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A434C5" w14:paraId="7BFDB005" w14:textId="77777777">
        <w:tc>
          <w:tcPr>
            <w:tcW w:w="6475" w:type="dxa"/>
            <w:vAlign w:val="center"/>
          </w:tcPr>
          <w:p w14:paraId="5370CBB1" w14:textId="3E5166E4" w:rsidR="00A434C5" w:rsidRDefault="00A434C5">
            <w:pPr>
              <w:pStyle w:val="1-BodyTextBoldCentered"/>
            </w:pPr>
            <w:r w:rsidRPr="00D74BDB">
              <w:t xml:space="preserve">24-hour mortality for field </w:t>
            </w:r>
            <w:r w:rsidR="008B0B45">
              <w:t>Veeralin</w:t>
            </w:r>
            <w:r>
              <w:t xml:space="preserve">® </w:t>
            </w:r>
            <w:r w:rsidRPr="00D74BDB">
              <w:t xml:space="preserve">ITNs taken from </w:t>
            </w:r>
            <w:r>
              <w:t>Serenje District</w:t>
            </w:r>
            <w:r w:rsidRPr="00D74BDB">
              <w:t xml:space="preserve">, </w:t>
            </w:r>
            <w:r>
              <w:t>Zambia</w:t>
            </w:r>
            <w:r w:rsidRPr="00D74BDB">
              <w:t xml:space="preserve"> </w:t>
            </w:r>
            <w:r>
              <w:t xml:space="preserve">and control ITNs </w:t>
            </w:r>
            <w:r w:rsidRPr="00D74BDB">
              <w:t xml:space="preserve">against resistant </w:t>
            </w:r>
            <w:r w:rsidRPr="00D74BDB">
              <w:rPr>
                <w:i/>
              </w:rPr>
              <w:t xml:space="preserve">An. </w:t>
            </w:r>
            <w:r>
              <w:rPr>
                <w:i/>
              </w:rPr>
              <w:t>arabiensis</w:t>
            </w:r>
            <w:r w:rsidRPr="00D74BDB">
              <w:t xml:space="preserve"> mosquito</w:t>
            </w:r>
            <w:r>
              <w:t>e</w:t>
            </w:r>
            <w:r w:rsidRPr="00D74BDB">
              <w:t>s</w:t>
            </w:r>
          </w:p>
        </w:tc>
        <w:tc>
          <w:tcPr>
            <w:tcW w:w="6475" w:type="dxa"/>
            <w:vAlign w:val="center"/>
          </w:tcPr>
          <w:p w14:paraId="7C72138D" w14:textId="77777777" w:rsidR="00806EAC" w:rsidRDefault="00806EAC" w:rsidP="00885096">
            <w:pPr>
              <w:pStyle w:val="1-BodyTextBoldCentered"/>
            </w:pPr>
          </w:p>
          <w:p w14:paraId="1CC11F57" w14:textId="1B112982" w:rsidR="00885096" w:rsidRPr="001C56E8" w:rsidRDefault="00885096" w:rsidP="00885096">
            <w:pPr>
              <w:pStyle w:val="1-BodyTextBoldCentered"/>
            </w:pPr>
            <w:r>
              <w:t xml:space="preserve">Alpha-cypermethrin and PBO </w:t>
            </w:r>
            <w:r w:rsidRPr="001C56E8">
              <w:t xml:space="preserve">content from </w:t>
            </w:r>
            <w:r>
              <w:t>ITNs taken from Serenje</w:t>
            </w:r>
            <w:r w:rsidRPr="001C56E8">
              <w:t xml:space="preserve"> District, </w:t>
            </w:r>
            <w:r>
              <w:t>Zambia</w:t>
            </w:r>
          </w:p>
          <w:p w14:paraId="111F61F5" w14:textId="77777777" w:rsidR="00A434C5" w:rsidRDefault="00A434C5">
            <w:pPr>
              <w:pStyle w:val="1-BodyTextBoldCentered"/>
              <w:jc w:val="left"/>
            </w:pPr>
          </w:p>
        </w:tc>
      </w:tr>
      <w:tr w:rsidR="00A434C5" w14:paraId="3C57E0F4" w14:textId="77777777">
        <w:tc>
          <w:tcPr>
            <w:tcW w:w="6475" w:type="dxa"/>
          </w:tcPr>
          <w:p w14:paraId="4E569C9D" w14:textId="76580784" w:rsidR="00A434C5" w:rsidRDefault="00101189">
            <w:pPr>
              <w:pStyle w:val="1-BodyText"/>
              <w:jc w:val="center"/>
            </w:pPr>
            <w:r>
              <w:rPr>
                <w:noProof/>
              </w:rPr>
              <w:drawing>
                <wp:inline distT="0" distB="0" distL="0" distR="0" wp14:anchorId="2A2558DA" wp14:editId="2BB4D5CD">
                  <wp:extent cx="3291840" cy="2395812"/>
                  <wp:effectExtent l="0" t="0" r="3810" b="5080"/>
                  <wp:docPr id="13416574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9074" cy="2408355"/>
                          </a:xfrm>
                          <a:prstGeom prst="rect">
                            <a:avLst/>
                          </a:prstGeom>
                          <a:noFill/>
                          <a:ln>
                            <a:noFill/>
                          </a:ln>
                        </pic:spPr>
                      </pic:pic>
                    </a:graphicData>
                  </a:graphic>
                </wp:inline>
              </w:drawing>
            </w:r>
          </w:p>
          <w:p w14:paraId="6BC302FB" w14:textId="77777777" w:rsidR="00A434C5" w:rsidRPr="00434CA2" w:rsidRDefault="00A434C5">
            <w:pPr>
              <w:jc w:val="both"/>
              <w:rPr>
                <w:i/>
                <w:iCs/>
              </w:rPr>
            </w:pPr>
            <w:r w:rsidRPr="00121721">
              <w:rPr>
                <w:i/>
                <w:iCs/>
              </w:rPr>
              <w:t>Results from WHO cone bioassays: the box plot shows the median (line), interquartile range (box), adjacent values (whiskers) and outliers (circles).</w:t>
            </w:r>
          </w:p>
        </w:tc>
        <w:tc>
          <w:tcPr>
            <w:tcW w:w="6475" w:type="dxa"/>
          </w:tcPr>
          <w:p w14:paraId="3356501E" w14:textId="55EFE662" w:rsidR="00A434C5" w:rsidRDefault="00A9444A">
            <w:pPr>
              <w:pStyle w:val="1-BodyText"/>
              <w:jc w:val="center"/>
            </w:pPr>
            <w:r>
              <w:rPr>
                <w:i/>
                <w:iCs/>
                <w:noProof/>
              </w:rPr>
              <w:drawing>
                <wp:inline distT="0" distB="0" distL="0" distR="0" wp14:anchorId="6F662394" wp14:editId="537AEDEA">
                  <wp:extent cx="3300537" cy="2401293"/>
                  <wp:effectExtent l="0" t="0" r="0" b="0"/>
                  <wp:docPr id="491961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2" cy="2425459"/>
                          </a:xfrm>
                          <a:prstGeom prst="rect">
                            <a:avLst/>
                          </a:prstGeom>
                          <a:noFill/>
                          <a:ln>
                            <a:noFill/>
                          </a:ln>
                        </pic:spPr>
                      </pic:pic>
                    </a:graphicData>
                  </a:graphic>
                </wp:inline>
              </w:drawing>
            </w:r>
          </w:p>
          <w:p w14:paraId="114C6F56" w14:textId="2DB00D03" w:rsidR="00A434C5" w:rsidRPr="00434CA2" w:rsidRDefault="00A434C5">
            <w:pPr>
              <w:jc w:val="both"/>
              <w:rPr>
                <w:i/>
                <w:iCs/>
              </w:rPr>
            </w:pPr>
            <w:r w:rsidRPr="009F2F9D">
              <w:rPr>
                <w:i/>
                <w:iCs/>
              </w:rPr>
              <w:t>Results from chemical testing: the box plot shows the median (line), interquartile range (box), adjacent values (whiskers) and outliers (circles), dotted lines represent manufacturer target doses for the corresponding insecticide or synergist, with colors aligned to the legend.</w:t>
            </w:r>
          </w:p>
        </w:tc>
      </w:tr>
    </w:tbl>
    <w:p w14:paraId="4F3B1693" w14:textId="77777777" w:rsidR="00C12A95" w:rsidRDefault="00C12A95">
      <w:pPr>
        <w:pBdr>
          <w:top w:val="nil"/>
          <w:left w:val="nil"/>
          <w:bottom w:val="nil"/>
          <w:right w:val="nil"/>
          <w:between w:val="nil"/>
        </w:pBdr>
        <w:rPr>
          <w:rFonts w:ascii="Gill Sans" w:hAnsi="Gill Sans"/>
          <w:i/>
          <w:color w:val="000000"/>
        </w:rPr>
        <w:sectPr w:rsidR="00C12A95" w:rsidSect="00B814FF">
          <w:pgSz w:w="15840" w:h="12240" w:orient="landscape"/>
          <w:pgMar w:top="1152" w:right="1440" w:bottom="1152" w:left="1440" w:header="720" w:footer="720" w:gutter="0"/>
          <w:pgNumType w:start="1"/>
          <w:cols w:space="720"/>
          <w:docGrid w:linePitch="299"/>
        </w:sectPr>
      </w:pPr>
    </w:p>
    <w:p w14:paraId="4B38DB79" w14:textId="0A9F57C4" w:rsidR="00C12A95" w:rsidRDefault="00D0770C">
      <w:pPr>
        <w:pStyle w:val="Heading2"/>
      </w:pPr>
      <w:r>
        <w:lastRenderedPageBreak/>
        <w:t>Durability Monitoring Indicator Definitions</w:t>
      </w:r>
    </w:p>
    <w:tbl>
      <w:tblPr>
        <w:tblW w:w="10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0"/>
      </w:tblGrid>
      <w:tr w:rsidR="00C12A95" w14:paraId="4B38DB7C" w14:textId="77777777">
        <w:trPr>
          <w:trHeight w:val="292"/>
          <w:jc w:val="center"/>
        </w:trPr>
        <w:tc>
          <w:tcPr>
            <w:tcW w:w="10540" w:type="dxa"/>
            <w:tcBorders>
              <w:bottom w:val="nil"/>
            </w:tcBorders>
            <w:shd w:val="clear" w:color="auto" w:fill="DEEBF7"/>
          </w:tcPr>
          <w:p w14:paraId="4B38DB7A" w14:textId="62508BA0" w:rsidR="00C12A95" w:rsidRDefault="00D0770C" w:rsidP="00CB60D6">
            <w:pPr>
              <w:pStyle w:val="1-BodyText"/>
            </w:pPr>
            <w:r>
              <w:rPr>
                <w:b/>
              </w:rPr>
              <w:t>Attrition due to wear and tear:</w:t>
            </w:r>
            <w:r>
              <w:t xml:space="preserve"> The percentage of cohort nets lost due to being destroyed, </w:t>
            </w:r>
            <w:r w:rsidR="00B52BB5">
              <w:t>discarded,</w:t>
            </w:r>
            <w:r>
              <w:t xml:space="preserve"> or used for other purposes out of all cohort nets received by sampled households. This does not include nets that were given away, sold, or stolen.</w:t>
            </w:r>
          </w:p>
          <w:p w14:paraId="4B38DB7B" w14:textId="415E47EC" w:rsidR="00C12A95" w:rsidRDefault="006C0FC6" w:rsidP="00CB60D6">
            <w:pPr>
              <w:pStyle w:val="1-BodyText"/>
            </w:pPr>
            <w:r w:rsidRPr="00FE663E">
              <w:rPr>
                <w:rFonts w:ascii="Wingdings" w:eastAsia="Wingdings" w:hAnsi="Wingdings" w:cs="Wingdings"/>
              </w:rPr>
              <w:t>à</w:t>
            </w:r>
            <w:r w:rsidR="00D0770C">
              <w:t xml:space="preserve"> Provides an estimate of the attrition relevant to estimation of the physical durability in contrast to “all cause attrition” which includes also nets given away etc. Attrition due to wear and tear is correlated with the median survival of the cohort nets.</w:t>
            </w:r>
          </w:p>
        </w:tc>
      </w:tr>
      <w:tr w:rsidR="00C12A95" w14:paraId="4B38DB7F" w14:textId="77777777">
        <w:trPr>
          <w:trHeight w:val="292"/>
          <w:jc w:val="center"/>
        </w:trPr>
        <w:tc>
          <w:tcPr>
            <w:tcW w:w="10540" w:type="dxa"/>
            <w:tcBorders>
              <w:bottom w:val="single" w:sz="4" w:space="0" w:color="000000"/>
            </w:tcBorders>
            <w:shd w:val="clear" w:color="auto" w:fill="auto"/>
          </w:tcPr>
          <w:p w14:paraId="4B38DB7D" w14:textId="77777777" w:rsidR="00C12A95" w:rsidRDefault="00D0770C" w:rsidP="00266173">
            <w:pPr>
              <w:pStyle w:val="1-BodyText"/>
            </w:pPr>
            <w:r>
              <w:rPr>
                <w:b/>
              </w:rPr>
              <w:t>Remaining nets in serviceable condition:</w:t>
            </w:r>
            <w:r>
              <w:t xml:space="preserve"> The percentage of cohort nets surviving to date that are still in serviceable physical condition (good or damaged), specifically, with a proportionate hole index of 642 or less.</w:t>
            </w:r>
          </w:p>
          <w:p w14:paraId="4B38DB7E" w14:textId="3CEA39A7" w:rsidR="00C12A95" w:rsidRDefault="00266173" w:rsidP="00266173">
            <w:pPr>
              <w:pStyle w:val="1-BodyText"/>
            </w:pPr>
            <w:r w:rsidRPr="00FE663E">
              <w:rPr>
                <w:rFonts w:ascii="Wingdings" w:eastAsia="Wingdings" w:hAnsi="Wingdings" w:cs="Wingdings"/>
              </w:rPr>
              <w:t>à</w:t>
            </w:r>
            <w:r w:rsidR="00D0770C">
              <w:t xml:space="preserve"> Provides an estimate of the physical quality of remaining campaign nets.</w:t>
            </w:r>
          </w:p>
        </w:tc>
      </w:tr>
      <w:tr w:rsidR="00C12A95" w14:paraId="4B38DB82" w14:textId="77777777">
        <w:trPr>
          <w:trHeight w:val="292"/>
          <w:jc w:val="center"/>
        </w:trPr>
        <w:tc>
          <w:tcPr>
            <w:tcW w:w="10540" w:type="dxa"/>
            <w:shd w:val="clear" w:color="auto" w:fill="DEEBF7"/>
          </w:tcPr>
          <w:p w14:paraId="4B38DB80" w14:textId="77777777" w:rsidR="00C12A95" w:rsidRDefault="00D0770C" w:rsidP="00266173">
            <w:pPr>
              <w:pStyle w:val="1-BodyText"/>
            </w:pPr>
            <w:r>
              <w:rPr>
                <w:b/>
              </w:rPr>
              <w:t>Remaining nets hanging over sleeping space:</w:t>
            </w:r>
            <w:r>
              <w:t xml:space="preserve"> The percentage of cohort nets and, separately, non-cohort nets present in the household that are hanging up, whether tied up or not. </w:t>
            </w:r>
          </w:p>
          <w:p w14:paraId="4B38DB81" w14:textId="477DF71D" w:rsidR="00C12A95" w:rsidRDefault="00266173" w:rsidP="00266173">
            <w:pPr>
              <w:pStyle w:val="1-BodyText"/>
              <w:rPr>
                <w:b/>
              </w:rPr>
            </w:pPr>
            <w:r w:rsidRPr="00FE663E">
              <w:rPr>
                <w:rFonts w:ascii="Wingdings" w:eastAsia="Wingdings" w:hAnsi="Wingdings" w:cs="Wingdings"/>
              </w:rPr>
              <w:t>à</w:t>
            </w:r>
            <w:r w:rsidR="00D0770C">
              <w:t xml:space="preserve"> Provides an estimate of the use of different nets in the household. Households adopt nets newly received from campaigns at different rates. A present net hanging up in the home is an indicator of net use generally, beyond the formal indicator of net use the night before the survey. </w:t>
            </w:r>
          </w:p>
        </w:tc>
      </w:tr>
      <w:tr w:rsidR="00C12A95" w14:paraId="4B38DB85" w14:textId="77777777">
        <w:trPr>
          <w:trHeight w:val="292"/>
          <w:jc w:val="center"/>
        </w:trPr>
        <w:tc>
          <w:tcPr>
            <w:tcW w:w="10540" w:type="dxa"/>
          </w:tcPr>
          <w:p w14:paraId="4B38DB83" w14:textId="09F76477" w:rsidR="00C12A95" w:rsidRDefault="00D0770C" w:rsidP="00266173">
            <w:pPr>
              <w:pStyle w:val="1-BodyText"/>
            </w:pPr>
            <w:r>
              <w:rPr>
                <w:b/>
              </w:rPr>
              <w:t>Optimal insecticidal effectiveness:</w:t>
            </w:r>
            <w:r>
              <w:t xml:space="preserve"> The percentage of sampled campaign nets that have at least 95% </w:t>
            </w:r>
            <w:r w:rsidR="001C5667">
              <w:t>KD60</w:t>
            </w:r>
            <w:r>
              <w:t xml:space="preserve"> or 80% mortality in the WHO cone bioassay. Alternatively, 90% feeding inhibition or 80% mortality in the tunnel test.</w:t>
            </w:r>
          </w:p>
          <w:p w14:paraId="4B38DB84" w14:textId="04EDC72F" w:rsidR="00C12A95" w:rsidRDefault="00266173" w:rsidP="00266173">
            <w:pPr>
              <w:pStyle w:val="1-BodyText"/>
            </w:pPr>
            <w:r w:rsidRPr="00FE663E">
              <w:rPr>
                <w:rFonts w:ascii="Wingdings" w:eastAsia="Wingdings" w:hAnsi="Wingdings" w:cs="Wingdings"/>
              </w:rPr>
              <w:t>à</w:t>
            </w:r>
            <w:r>
              <w:t xml:space="preserve"> </w:t>
            </w:r>
            <w:r w:rsidR="00D0770C">
              <w:t>Provides an estimate of the effectiveness of the insecticide found on mass campaign LLIN at each period of follow-up.</w:t>
            </w:r>
          </w:p>
        </w:tc>
      </w:tr>
      <w:tr w:rsidR="00C12A95" w14:paraId="4B38DB88" w14:textId="77777777">
        <w:trPr>
          <w:trHeight w:val="292"/>
          <w:jc w:val="center"/>
        </w:trPr>
        <w:tc>
          <w:tcPr>
            <w:tcW w:w="10540" w:type="dxa"/>
            <w:shd w:val="clear" w:color="auto" w:fill="DEEBF7"/>
          </w:tcPr>
          <w:p w14:paraId="4B38DB86" w14:textId="47097428" w:rsidR="00C12A95" w:rsidRDefault="00D0770C" w:rsidP="00266173">
            <w:pPr>
              <w:pStyle w:val="1-BodyText"/>
            </w:pPr>
            <w:r>
              <w:rPr>
                <w:b/>
              </w:rPr>
              <w:t>Cohort survival in serviceable condition</w:t>
            </w:r>
            <w:r>
              <w:t xml:space="preserve">: The proportion of all cohort nets sampled at baseline that are in serviceable physical condition at each period of follow-up out of all cohort nets with a known outcome (excluding nets given away to others, </w:t>
            </w:r>
            <w:r w:rsidR="005E5332">
              <w:t>stolen,</w:t>
            </w:r>
            <w:r>
              <w:t xml:space="preserve"> or sold).</w:t>
            </w:r>
          </w:p>
          <w:p w14:paraId="4B38DB87" w14:textId="3AC7B473" w:rsidR="00C12A95" w:rsidRDefault="00266173" w:rsidP="00266173">
            <w:pPr>
              <w:pStyle w:val="1-BodyText"/>
              <w:rPr>
                <w:b/>
              </w:rPr>
            </w:pPr>
            <w:r w:rsidRPr="00FE663E">
              <w:rPr>
                <w:rFonts w:ascii="Wingdings" w:eastAsia="Wingdings" w:hAnsi="Wingdings" w:cs="Wingdings"/>
              </w:rPr>
              <w:t>à</w:t>
            </w:r>
            <w:r>
              <w:t xml:space="preserve"> </w:t>
            </w:r>
            <w:r w:rsidR="00D0770C">
              <w:t>Provides an estimate of the proportion of all campaign nets that are still able to effectively protect the population from malaria when slept under.</w:t>
            </w:r>
          </w:p>
        </w:tc>
      </w:tr>
    </w:tbl>
    <w:p w14:paraId="4B38DB89" w14:textId="77777777" w:rsidR="00C12A95" w:rsidRDefault="00C12A95">
      <w:pPr>
        <w:tabs>
          <w:tab w:val="left" w:pos="991"/>
        </w:tabs>
        <w:spacing w:after="0"/>
        <w:rPr>
          <w:rFonts w:ascii="Garamond" w:eastAsia="Garamond" w:hAnsi="Garamond" w:cs="Garamond"/>
        </w:rPr>
      </w:pPr>
    </w:p>
    <w:p w14:paraId="4B38DB8A" w14:textId="77777777" w:rsidR="00C12A95" w:rsidRDefault="00C12A95"/>
    <w:p w14:paraId="4B38DB8B" w14:textId="77777777" w:rsidR="00C12A95" w:rsidRDefault="00C12A95"/>
    <w:sectPr w:rsidR="00C12A95" w:rsidSect="00F07D7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B827" w14:textId="77777777" w:rsidR="00D40975" w:rsidRDefault="00D40975">
      <w:pPr>
        <w:spacing w:after="0"/>
      </w:pPr>
      <w:r>
        <w:separator/>
      </w:r>
    </w:p>
  </w:endnote>
  <w:endnote w:type="continuationSeparator" w:id="0">
    <w:p w14:paraId="08750A9A" w14:textId="77777777" w:rsidR="00D40975" w:rsidRDefault="00D40975">
      <w:pPr>
        <w:spacing w:after="0"/>
      </w:pPr>
      <w:r>
        <w:continuationSeparator/>
      </w:r>
    </w:p>
  </w:endnote>
  <w:endnote w:type="continuationNotice" w:id="1">
    <w:p w14:paraId="4AA7D1FD" w14:textId="77777777" w:rsidR="00D40975" w:rsidRDefault="00D40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Nova Light">
    <w:altName w:val="Calibri"/>
    <w:charset w:val="00"/>
    <w:family w:val="swiss"/>
    <w:pitch w:val="variable"/>
    <w:sig w:usb0="80000287" w:usb1="00000002" w:usb2="00000000" w:usb3="00000000" w:csb0="0000009F" w:csb1="00000000"/>
  </w:font>
  <w:font w:name="Gill Sans">
    <w:altName w:val="Arial"/>
    <w:charset w:val="00"/>
    <w:family w:val="auto"/>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B"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BC" w14:textId="77777777" w:rsidR="00C12A95" w:rsidRDefault="00C12A95"/>
  <w:p w14:paraId="4B38DBBD" w14:textId="77777777" w:rsidR="00C12A95" w:rsidRDefault="00C12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E"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BF"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C0" w14:textId="77777777" w:rsidR="00C12A95" w:rsidRDefault="00C12A95"/>
  <w:p w14:paraId="4B38DBC1" w14:textId="77777777" w:rsidR="00C12A95" w:rsidRDefault="00C12A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C5"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C6" w14:textId="77777777" w:rsidR="00C12A95" w:rsidRDefault="00C12A95"/>
  <w:p w14:paraId="4B38DBC7" w14:textId="77777777" w:rsidR="00C12A95" w:rsidRDefault="00C12A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C8" w14:textId="0519419C" w:rsidR="00C12A95" w:rsidRDefault="00D0770C">
    <w:pPr>
      <w:pBdr>
        <w:top w:val="single" w:sz="12" w:space="1" w:color="002A6C"/>
        <w:left w:val="nil"/>
        <w:bottom w:val="nil"/>
        <w:right w:val="nil"/>
        <w:between w:val="nil"/>
      </w:pBdr>
      <w:tabs>
        <w:tab w:val="center" w:pos="4680"/>
        <w:tab w:val="right" w:pos="9360"/>
      </w:tabs>
      <w:spacing w:after="0"/>
      <w:jc w:val="right"/>
      <w:rPr>
        <w:rFonts w:ascii="Gill Sans" w:hAnsi="Gill Sans"/>
        <w:color w:val="000000"/>
      </w:rPr>
    </w:pPr>
    <w:r>
      <w:rPr>
        <w:rFonts w:ascii="Gill Sans" w:hAnsi="Gill Sans"/>
        <w:color w:val="000000"/>
      </w:rPr>
      <w:fldChar w:fldCharType="begin"/>
    </w:r>
    <w:r>
      <w:rPr>
        <w:rFonts w:ascii="Gill Sans" w:hAnsi="Gill Sans"/>
        <w:color w:val="000000"/>
      </w:rPr>
      <w:instrText>PAGE</w:instrText>
    </w:r>
    <w:r>
      <w:rPr>
        <w:rFonts w:ascii="Gill Sans" w:hAnsi="Gill Sans"/>
        <w:color w:val="000000"/>
      </w:rPr>
      <w:fldChar w:fldCharType="separate"/>
    </w:r>
    <w:r w:rsidR="003C7698">
      <w:rPr>
        <w:rFonts w:ascii="Gill Sans" w:hAnsi="Gill Sans"/>
        <w:noProof/>
        <w:color w:val="000000"/>
      </w:rPr>
      <w:t>1</w:t>
    </w:r>
    <w:r>
      <w:rPr>
        <w:rFonts w:ascii="Gill Sans" w:hAnsi="Gill San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B113" w14:textId="77777777" w:rsidR="00D40975" w:rsidRDefault="00D40975">
      <w:pPr>
        <w:spacing w:after="0"/>
      </w:pPr>
      <w:r>
        <w:separator/>
      </w:r>
    </w:p>
  </w:footnote>
  <w:footnote w:type="continuationSeparator" w:id="0">
    <w:p w14:paraId="040F4803" w14:textId="77777777" w:rsidR="00D40975" w:rsidRDefault="00D40975">
      <w:pPr>
        <w:spacing w:after="0"/>
      </w:pPr>
      <w:r>
        <w:continuationSeparator/>
      </w:r>
    </w:p>
  </w:footnote>
  <w:footnote w:type="continuationNotice" w:id="1">
    <w:p w14:paraId="11956F49" w14:textId="77777777" w:rsidR="00D40975" w:rsidRDefault="00D40975">
      <w:pPr>
        <w:spacing w:after="0"/>
      </w:pPr>
    </w:p>
  </w:footnote>
  <w:footnote w:id="2">
    <w:p w14:paraId="16342FA0" w14:textId="781CF249" w:rsidR="002E5175" w:rsidRDefault="002E5175">
      <w:pPr>
        <w:pStyle w:val="FootnoteText"/>
      </w:pPr>
      <w:r>
        <w:rPr>
          <w:rStyle w:val="FootnoteReference"/>
        </w:rPr>
        <w:footnoteRef/>
      </w:r>
      <w:r>
        <w:t xml:space="preserve"> </w:t>
      </w:r>
      <w:hyperlink r:id="rId1" w:history="1">
        <w:r w:rsidRPr="002E5175">
          <w:rPr>
            <w:rStyle w:val="Hyperlink"/>
          </w:rPr>
          <w:t>PMI-VectorLink-Sierra-Leone-36-Month-DM-Snapshot-with-Bioassays-and-Chemical-Results</w:t>
        </w:r>
      </w:hyperlink>
    </w:p>
  </w:footnote>
  <w:footnote w:id="3">
    <w:p w14:paraId="19F808C5" w14:textId="20164E5F" w:rsidR="00613ECC" w:rsidRDefault="00613ECC">
      <w:pPr>
        <w:pStyle w:val="FootnoteText"/>
      </w:pPr>
      <w:r>
        <w:rPr>
          <w:rStyle w:val="FootnoteReference"/>
        </w:rPr>
        <w:footnoteRef/>
      </w:r>
      <w:r>
        <w:t xml:space="preserve"> </w:t>
      </w:r>
      <w:r w:rsidRPr="00613ECC">
        <w:t xml:space="preserve">Salum Azizi et al., “Evaluation of Durability as a Function of Fabric Strength and Residual Bio-Efficacy for the Olyset Plus and Interceptor G2 LLINs after 3 Years of Field Use in Tanzania,” </w:t>
      </w:r>
      <w:r w:rsidRPr="00613ECC">
        <w:rPr>
          <w:i/>
          <w:iCs/>
        </w:rPr>
        <w:t>Tropical Medicine and Infectious Disease</w:t>
      </w:r>
      <w:r w:rsidRPr="00613ECC">
        <w:t xml:space="preserve"> 8, no. 8 (July 25, 2023): 379, </w:t>
      </w:r>
      <w:hyperlink r:id="rId2" w:history="1">
        <w:r w:rsidRPr="00613ECC">
          <w:rPr>
            <w:rStyle w:val="Hyperlink"/>
          </w:rPr>
          <w:t>https://doi.org/10.3390/tropicalmed8080379</w:t>
        </w:r>
      </w:hyperlink>
      <w:r w:rsidRPr="00613ECC">
        <w:t>.</w:t>
      </w:r>
    </w:p>
  </w:footnote>
  <w:footnote w:id="4">
    <w:p w14:paraId="5AD7995F" w14:textId="29F4EF38" w:rsidR="00232872" w:rsidRDefault="00232872">
      <w:pPr>
        <w:pStyle w:val="FootnoteText"/>
      </w:pPr>
      <w:r>
        <w:rPr>
          <w:rStyle w:val="FootnoteReference"/>
        </w:rPr>
        <w:footnoteRef/>
      </w:r>
      <w:r>
        <w:t xml:space="preserve"> </w:t>
      </w:r>
      <w:hyperlink r:id="rId3" w:history="1">
        <w:r w:rsidR="00BE1A70" w:rsidRPr="00BE1A70">
          <w:rPr>
            <w:rStyle w:val="Hyperlink"/>
          </w:rPr>
          <w:t>WHO publishes recommendations on two new types of insecticide-treated nets</w:t>
        </w:r>
      </w:hyperlink>
    </w:p>
  </w:footnote>
  <w:footnote w:id="5">
    <w:p w14:paraId="41A2EBCE" w14:textId="0C87BED5" w:rsidR="003D1421" w:rsidRPr="00A97775" w:rsidRDefault="003D1421">
      <w:pPr>
        <w:pStyle w:val="FootnoteText"/>
        <w:rPr>
          <w:lang w:val="pt-PT"/>
        </w:rPr>
      </w:pPr>
      <w:r w:rsidRPr="00920B64">
        <w:rPr>
          <w:rStyle w:val="FootnoteReference"/>
        </w:rPr>
        <w:footnoteRef/>
      </w:r>
      <w:r w:rsidRPr="00920B64">
        <w:t xml:space="preserve"> </w:t>
      </w:r>
      <w:r w:rsidRPr="00840613">
        <w:rPr>
          <w:rFonts w:cs="Calibri"/>
        </w:rPr>
        <w:t xml:space="preserve">Kilian A, Obi E, Mansiangi P, Abílio AP, Haji KA, Blaufuss S, et al. Variation of physical durability between LLIN products and net use environments: summary of findings from four African countries. </w:t>
      </w:r>
      <w:r w:rsidRPr="00A97775">
        <w:rPr>
          <w:rFonts w:cs="Calibri"/>
          <w:lang w:val="pt-PT"/>
        </w:rPr>
        <w:t>Malar J. 2021 Jan 7;20(1):26.</w:t>
      </w:r>
    </w:p>
  </w:footnote>
  <w:footnote w:id="6">
    <w:p w14:paraId="617F47B7" w14:textId="2889CB71" w:rsidR="004C593E" w:rsidRPr="00920B64" w:rsidRDefault="004C593E">
      <w:pPr>
        <w:pStyle w:val="FootnoteText"/>
      </w:pPr>
      <w:r w:rsidRPr="00920B64">
        <w:rPr>
          <w:rStyle w:val="FootnoteReference"/>
        </w:rPr>
        <w:footnoteRef/>
      </w:r>
      <w:r w:rsidRPr="00840613">
        <w:rPr>
          <w:lang w:val="pt-PT"/>
        </w:rPr>
        <w:t xml:space="preserve"> </w:t>
      </w:r>
      <w:r w:rsidR="007A51F0" w:rsidRPr="00840613">
        <w:rPr>
          <w:rFonts w:cs="Calibri"/>
          <w:lang w:val="pt-PT"/>
        </w:rPr>
        <w:t xml:space="preserve">Haji KA, Khatib BO, Obi E, Dimoso K, Koenker H, Babalola S, et al. </w:t>
      </w:r>
      <w:r w:rsidR="007A51F0" w:rsidRPr="00840613">
        <w:rPr>
          <w:rFonts w:cs="Calibri"/>
        </w:rPr>
        <w:t>Monitoring the durability of the long-lasting insecticidal nets Olyset® and PermaNet® 2.0 in similar use environments in Zanzibar. Malar J. 2020 May 24;19(1):187.</w:t>
      </w:r>
    </w:p>
  </w:footnote>
  <w:footnote w:id="7">
    <w:p w14:paraId="378FD675" w14:textId="1716FAEE" w:rsidR="007A51F0" w:rsidRDefault="007A51F0">
      <w:pPr>
        <w:pStyle w:val="FootnoteText"/>
      </w:pPr>
      <w:r w:rsidRPr="00920B64">
        <w:rPr>
          <w:rStyle w:val="FootnoteReference"/>
        </w:rPr>
        <w:footnoteRef/>
      </w:r>
      <w:r w:rsidRPr="00920B64">
        <w:t xml:space="preserve"> </w:t>
      </w:r>
      <w:r w:rsidR="00F626B3" w:rsidRPr="00840613">
        <w:rPr>
          <w:rFonts w:cs="Calibri"/>
        </w:rPr>
        <w:t>Mansiangi P, Umesumbu S, Etewa I, Zandibeni J, Bafwa N, Blaufuss S, et al. Comparing the durability of the long-lasting insecticidal nets DawaPlus® 2.0 and DuraNet© in northwest Democratic Republic of Congo. Malar J. 2020 May 24;19(1):189.</w:t>
      </w:r>
    </w:p>
  </w:footnote>
  <w:footnote w:id="8">
    <w:p w14:paraId="1721AF07" w14:textId="6FAFD1F9" w:rsidR="00066BE6" w:rsidRDefault="00066BE6">
      <w:pPr>
        <w:pStyle w:val="FootnoteText"/>
      </w:pPr>
      <w:r>
        <w:rPr>
          <w:rStyle w:val="FootnoteReference"/>
        </w:rPr>
        <w:footnoteRef/>
      </w:r>
      <w:r>
        <w:t xml:space="preserve"> </w:t>
      </w:r>
      <w:r w:rsidRPr="00066BE6">
        <w:t xml:space="preserve">Prior to bioassays, the </w:t>
      </w:r>
      <w:r w:rsidRPr="005E3076">
        <w:rPr>
          <w:i/>
          <w:iCs/>
        </w:rPr>
        <w:t>Anopheles</w:t>
      </w:r>
      <w:r w:rsidRPr="00066BE6">
        <w:t xml:space="preserve"> (</w:t>
      </w:r>
      <w:r w:rsidRPr="005E3076">
        <w:rPr>
          <w:i/>
          <w:iCs/>
        </w:rPr>
        <w:t>An</w:t>
      </w:r>
      <w:r w:rsidRPr="00066BE6">
        <w:t xml:space="preserve">.) </w:t>
      </w:r>
      <w:r w:rsidRPr="005E3076">
        <w:rPr>
          <w:i/>
          <w:iCs/>
        </w:rPr>
        <w:t>gambiae</w:t>
      </w:r>
      <w:r w:rsidRPr="00066BE6">
        <w:t xml:space="preserve"> s.s. strain was confirmed to be pyrethroid-susceptible and the </w:t>
      </w:r>
      <w:r w:rsidRPr="005E3076">
        <w:rPr>
          <w:i/>
          <w:iCs/>
        </w:rPr>
        <w:t xml:space="preserve">An. arabiensis </w:t>
      </w:r>
      <w:r w:rsidRPr="00066BE6">
        <w:t>strain, pyrethroid-resistant</w:t>
      </w:r>
      <w:r>
        <w:t xml:space="preserve"> using WHO susceptibility test and molecular characterization of insecticide resistance markers</w:t>
      </w:r>
      <w:r w:rsidRPr="00066BE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7"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B8" w14:textId="77777777" w:rsidR="00C12A95" w:rsidRDefault="00C12A95"/>
  <w:p w14:paraId="4B38DBB9" w14:textId="77777777" w:rsidR="00C12A95" w:rsidRDefault="00C12A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A" w14:textId="77777777" w:rsidR="00C12A95" w:rsidRDefault="00C12A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C2"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C3" w14:textId="77777777" w:rsidR="00C12A95" w:rsidRDefault="00C12A95"/>
  <w:p w14:paraId="4B38DBC4" w14:textId="77777777" w:rsidR="00C12A95" w:rsidRDefault="00C12A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87289"/>
    <w:multiLevelType w:val="hybridMultilevel"/>
    <w:tmpl w:val="C10699D8"/>
    <w:lvl w:ilvl="0" w:tplc="5FCEBFAC">
      <w:numFmt w:val="bullet"/>
      <w:lvlText w:val="-"/>
      <w:lvlJc w:val="left"/>
      <w:pPr>
        <w:ind w:left="720" w:hanging="360"/>
      </w:pPr>
      <w:rPr>
        <w:rFonts w:ascii="Gill Sans Nova Light" w:eastAsia="Gill Sans" w:hAnsi="Gill Sans Nova Light"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41186"/>
    <w:multiLevelType w:val="multilevel"/>
    <w:tmpl w:val="D8526576"/>
    <w:lvl w:ilvl="0">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360915">
    <w:abstractNumId w:val="1"/>
  </w:num>
  <w:num w:numId="2" w16cid:durableId="171384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95"/>
    <w:rsid w:val="00020288"/>
    <w:rsid w:val="000205E8"/>
    <w:rsid w:val="000211AB"/>
    <w:rsid w:val="00023D33"/>
    <w:rsid w:val="00023E1F"/>
    <w:rsid w:val="000279AF"/>
    <w:rsid w:val="000332CD"/>
    <w:rsid w:val="00037935"/>
    <w:rsid w:val="00050AB7"/>
    <w:rsid w:val="00053051"/>
    <w:rsid w:val="0005490D"/>
    <w:rsid w:val="0006123D"/>
    <w:rsid w:val="00063345"/>
    <w:rsid w:val="000652E6"/>
    <w:rsid w:val="0006592D"/>
    <w:rsid w:val="00066BE6"/>
    <w:rsid w:val="00067D4D"/>
    <w:rsid w:val="000711A7"/>
    <w:rsid w:val="0007223A"/>
    <w:rsid w:val="0007485E"/>
    <w:rsid w:val="00081051"/>
    <w:rsid w:val="0008244F"/>
    <w:rsid w:val="000843F4"/>
    <w:rsid w:val="00085268"/>
    <w:rsid w:val="00085BAB"/>
    <w:rsid w:val="000935E9"/>
    <w:rsid w:val="00093FA2"/>
    <w:rsid w:val="00094838"/>
    <w:rsid w:val="00095EF6"/>
    <w:rsid w:val="000A2084"/>
    <w:rsid w:val="000A30C8"/>
    <w:rsid w:val="000A5CDA"/>
    <w:rsid w:val="000B4E21"/>
    <w:rsid w:val="000B5543"/>
    <w:rsid w:val="000B689C"/>
    <w:rsid w:val="000B7786"/>
    <w:rsid w:val="000B7AE9"/>
    <w:rsid w:val="000B7D8B"/>
    <w:rsid w:val="000C3C9F"/>
    <w:rsid w:val="000D0CDB"/>
    <w:rsid w:val="000D2C52"/>
    <w:rsid w:val="000E1A67"/>
    <w:rsid w:val="000E5D8F"/>
    <w:rsid w:val="000E6486"/>
    <w:rsid w:val="000E7451"/>
    <w:rsid w:val="000F03DF"/>
    <w:rsid w:val="000F377C"/>
    <w:rsid w:val="000F3D63"/>
    <w:rsid w:val="000F4A9A"/>
    <w:rsid w:val="000F4CB3"/>
    <w:rsid w:val="000F4EFD"/>
    <w:rsid w:val="000F5A4E"/>
    <w:rsid w:val="00101189"/>
    <w:rsid w:val="001033B6"/>
    <w:rsid w:val="00107BA6"/>
    <w:rsid w:val="00112D7E"/>
    <w:rsid w:val="001172CD"/>
    <w:rsid w:val="00122192"/>
    <w:rsid w:val="001306BA"/>
    <w:rsid w:val="00131B41"/>
    <w:rsid w:val="00137C92"/>
    <w:rsid w:val="001416CE"/>
    <w:rsid w:val="00142FF0"/>
    <w:rsid w:val="001438BF"/>
    <w:rsid w:val="00152EF3"/>
    <w:rsid w:val="00154B2F"/>
    <w:rsid w:val="00156935"/>
    <w:rsid w:val="00162D98"/>
    <w:rsid w:val="00164829"/>
    <w:rsid w:val="001675EF"/>
    <w:rsid w:val="00171C3C"/>
    <w:rsid w:val="001723F6"/>
    <w:rsid w:val="00173495"/>
    <w:rsid w:val="00176E56"/>
    <w:rsid w:val="0018055C"/>
    <w:rsid w:val="001835E7"/>
    <w:rsid w:val="00183F87"/>
    <w:rsid w:val="00186754"/>
    <w:rsid w:val="00190679"/>
    <w:rsid w:val="00194635"/>
    <w:rsid w:val="00195349"/>
    <w:rsid w:val="001957C1"/>
    <w:rsid w:val="00196456"/>
    <w:rsid w:val="001A4A8F"/>
    <w:rsid w:val="001A5644"/>
    <w:rsid w:val="001B6682"/>
    <w:rsid w:val="001B7C5C"/>
    <w:rsid w:val="001C5667"/>
    <w:rsid w:val="001C60B1"/>
    <w:rsid w:val="001C6104"/>
    <w:rsid w:val="001D0924"/>
    <w:rsid w:val="001D3FF0"/>
    <w:rsid w:val="001E24EB"/>
    <w:rsid w:val="001E3546"/>
    <w:rsid w:val="001E4109"/>
    <w:rsid w:val="001E6750"/>
    <w:rsid w:val="001F0080"/>
    <w:rsid w:val="001F1896"/>
    <w:rsid w:val="001F368C"/>
    <w:rsid w:val="001F464B"/>
    <w:rsid w:val="001F69A9"/>
    <w:rsid w:val="001F6E85"/>
    <w:rsid w:val="001F79C1"/>
    <w:rsid w:val="00201586"/>
    <w:rsid w:val="0020218C"/>
    <w:rsid w:val="00202E7B"/>
    <w:rsid w:val="0020334C"/>
    <w:rsid w:val="00204C4F"/>
    <w:rsid w:val="00205CC0"/>
    <w:rsid w:val="00214E42"/>
    <w:rsid w:val="00215963"/>
    <w:rsid w:val="00221FA8"/>
    <w:rsid w:val="00222C65"/>
    <w:rsid w:val="002233F7"/>
    <w:rsid w:val="002235FE"/>
    <w:rsid w:val="00227DA1"/>
    <w:rsid w:val="00232872"/>
    <w:rsid w:val="002337E9"/>
    <w:rsid w:val="00233A94"/>
    <w:rsid w:val="0023494F"/>
    <w:rsid w:val="00236A35"/>
    <w:rsid w:val="00241DAC"/>
    <w:rsid w:val="00243673"/>
    <w:rsid w:val="002522D1"/>
    <w:rsid w:val="002542AB"/>
    <w:rsid w:val="0025524D"/>
    <w:rsid w:val="00260743"/>
    <w:rsid w:val="00261FAB"/>
    <w:rsid w:val="00262C6E"/>
    <w:rsid w:val="002632E3"/>
    <w:rsid w:val="0026440A"/>
    <w:rsid w:val="00266173"/>
    <w:rsid w:val="00267D8E"/>
    <w:rsid w:val="00271703"/>
    <w:rsid w:val="002732FB"/>
    <w:rsid w:val="00273A7A"/>
    <w:rsid w:val="002746AA"/>
    <w:rsid w:val="00277588"/>
    <w:rsid w:val="002803F4"/>
    <w:rsid w:val="00281853"/>
    <w:rsid w:val="00281A2E"/>
    <w:rsid w:val="0028763E"/>
    <w:rsid w:val="00290DDE"/>
    <w:rsid w:val="002916E2"/>
    <w:rsid w:val="002947CE"/>
    <w:rsid w:val="00297462"/>
    <w:rsid w:val="00297E8F"/>
    <w:rsid w:val="002A3F78"/>
    <w:rsid w:val="002A5C94"/>
    <w:rsid w:val="002A7D5B"/>
    <w:rsid w:val="002B0777"/>
    <w:rsid w:val="002B2A29"/>
    <w:rsid w:val="002B508E"/>
    <w:rsid w:val="002B6B66"/>
    <w:rsid w:val="002C44D8"/>
    <w:rsid w:val="002C474B"/>
    <w:rsid w:val="002C5B7E"/>
    <w:rsid w:val="002D36AD"/>
    <w:rsid w:val="002D70AC"/>
    <w:rsid w:val="002E06A9"/>
    <w:rsid w:val="002E07F7"/>
    <w:rsid w:val="002E1577"/>
    <w:rsid w:val="002E4E03"/>
    <w:rsid w:val="002E5175"/>
    <w:rsid w:val="002F1F45"/>
    <w:rsid w:val="002F4804"/>
    <w:rsid w:val="002F63AA"/>
    <w:rsid w:val="003038A9"/>
    <w:rsid w:val="003107E1"/>
    <w:rsid w:val="003174A3"/>
    <w:rsid w:val="0032087D"/>
    <w:rsid w:val="00323F58"/>
    <w:rsid w:val="003264C5"/>
    <w:rsid w:val="0032661D"/>
    <w:rsid w:val="00326B1B"/>
    <w:rsid w:val="0033167A"/>
    <w:rsid w:val="00332BB4"/>
    <w:rsid w:val="00336548"/>
    <w:rsid w:val="00347DEC"/>
    <w:rsid w:val="00356265"/>
    <w:rsid w:val="003617C2"/>
    <w:rsid w:val="00362E53"/>
    <w:rsid w:val="00364DA4"/>
    <w:rsid w:val="00370CEE"/>
    <w:rsid w:val="003745FD"/>
    <w:rsid w:val="00376ADA"/>
    <w:rsid w:val="00380543"/>
    <w:rsid w:val="00383891"/>
    <w:rsid w:val="00386145"/>
    <w:rsid w:val="00390FFA"/>
    <w:rsid w:val="00392FC7"/>
    <w:rsid w:val="003A14C8"/>
    <w:rsid w:val="003A2B5A"/>
    <w:rsid w:val="003A2E9C"/>
    <w:rsid w:val="003A639B"/>
    <w:rsid w:val="003A79E2"/>
    <w:rsid w:val="003B3DCD"/>
    <w:rsid w:val="003B4251"/>
    <w:rsid w:val="003B426E"/>
    <w:rsid w:val="003B5127"/>
    <w:rsid w:val="003C125F"/>
    <w:rsid w:val="003C3F3F"/>
    <w:rsid w:val="003C569D"/>
    <w:rsid w:val="003C7698"/>
    <w:rsid w:val="003D1421"/>
    <w:rsid w:val="003D38C2"/>
    <w:rsid w:val="003E079B"/>
    <w:rsid w:val="003E1268"/>
    <w:rsid w:val="003E1A17"/>
    <w:rsid w:val="003E439F"/>
    <w:rsid w:val="003E7E2A"/>
    <w:rsid w:val="003F651C"/>
    <w:rsid w:val="003F6DC6"/>
    <w:rsid w:val="00402FF1"/>
    <w:rsid w:val="00404416"/>
    <w:rsid w:val="00404833"/>
    <w:rsid w:val="00405FD9"/>
    <w:rsid w:val="004066B9"/>
    <w:rsid w:val="00406E64"/>
    <w:rsid w:val="004125AA"/>
    <w:rsid w:val="004150C7"/>
    <w:rsid w:val="0042096D"/>
    <w:rsid w:val="00421972"/>
    <w:rsid w:val="004238F1"/>
    <w:rsid w:val="00424699"/>
    <w:rsid w:val="004407A5"/>
    <w:rsid w:val="00443580"/>
    <w:rsid w:val="00444E0B"/>
    <w:rsid w:val="004459BB"/>
    <w:rsid w:val="00446902"/>
    <w:rsid w:val="00446C4E"/>
    <w:rsid w:val="00452E04"/>
    <w:rsid w:val="00460AD9"/>
    <w:rsid w:val="0046690A"/>
    <w:rsid w:val="0047005A"/>
    <w:rsid w:val="00474ACA"/>
    <w:rsid w:val="00480B9C"/>
    <w:rsid w:val="00492F68"/>
    <w:rsid w:val="00494FC8"/>
    <w:rsid w:val="004A1B34"/>
    <w:rsid w:val="004A302F"/>
    <w:rsid w:val="004B01D1"/>
    <w:rsid w:val="004B2FBA"/>
    <w:rsid w:val="004B77BC"/>
    <w:rsid w:val="004C001B"/>
    <w:rsid w:val="004C47B4"/>
    <w:rsid w:val="004C4BF5"/>
    <w:rsid w:val="004C593E"/>
    <w:rsid w:val="004C5F12"/>
    <w:rsid w:val="004C7B3A"/>
    <w:rsid w:val="004D1758"/>
    <w:rsid w:val="004D17A9"/>
    <w:rsid w:val="004D410A"/>
    <w:rsid w:val="004D4152"/>
    <w:rsid w:val="004D6EDE"/>
    <w:rsid w:val="004E4596"/>
    <w:rsid w:val="004E609F"/>
    <w:rsid w:val="004F0026"/>
    <w:rsid w:val="004F0AF4"/>
    <w:rsid w:val="004F13DC"/>
    <w:rsid w:val="0050106A"/>
    <w:rsid w:val="00506467"/>
    <w:rsid w:val="00506E36"/>
    <w:rsid w:val="0051047D"/>
    <w:rsid w:val="00513333"/>
    <w:rsid w:val="00513ED2"/>
    <w:rsid w:val="0051454F"/>
    <w:rsid w:val="00516DFA"/>
    <w:rsid w:val="005239E8"/>
    <w:rsid w:val="005243DB"/>
    <w:rsid w:val="005253C0"/>
    <w:rsid w:val="005260C3"/>
    <w:rsid w:val="00526524"/>
    <w:rsid w:val="00527AA6"/>
    <w:rsid w:val="00531689"/>
    <w:rsid w:val="00532076"/>
    <w:rsid w:val="005330B1"/>
    <w:rsid w:val="00533E4C"/>
    <w:rsid w:val="005345D9"/>
    <w:rsid w:val="00545C5A"/>
    <w:rsid w:val="00557575"/>
    <w:rsid w:val="00557646"/>
    <w:rsid w:val="00561092"/>
    <w:rsid w:val="0056428F"/>
    <w:rsid w:val="0057093F"/>
    <w:rsid w:val="00571F67"/>
    <w:rsid w:val="0057348A"/>
    <w:rsid w:val="005754D7"/>
    <w:rsid w:val="005816F4"/>
    <w:rsid w:val="00581F70"/>
    <w:rsid w:val="005909EC"/>
    <w:rsid w:val="00595ACE"/>
    <w:rsid w:val="005A0027"/>
    <w:rsid w:val="005A1DD0"/>
    <w:rsid w:val="005A1E81"/>
    <w:rsid w:val="005A4297"/>
    <w:rsid w:val="005A6E24"/>
    <w:rsid w:val="005B0460"/>
    <w:rsid w:val="005B6B97"/>
    <w:rsid w:val="005C05DF"/>
    <w:rsid w:val="005C0A9E"/>
    <w:rsid w:val="005C20D8"/>
    <w:rsid w:val="005C279E"/>
    <w:rsid w:val="005C3065"/>
    <w:rsid w:val="005C4E3C"/>
    <w:rsid w:val="005D201B"/>
    <w:rsid w:val="005D2EEF"/>
    <w:rsid w:val="005D5C98"/>
    <w:rsid w:val="005D7EA6"/>
    <w:rsid w:val="005E3076"/>
    <w:rsid w:val="005E3C67"/>
    <w:rsid w:val="005E4898"/>
    <w:rsid w:val="005E5332"/>
    <w:rsid w:val="005E7157"/>
    <w:rsid w:val="005F121F"/>
    <w:rsid w:val="005F1E24"/>
    <w:rsid w:val="005F5824"/>
    <w:rsid w:val="00603541"/>
    <w:rsid w:val="00604E7F"/>
    <w:rsid w:val="00605849"/>
    <w:rsid w:val="00607BE4"/>
    <w:rsid w:val="00610465"/>
    <w:rsid w:val="006115FF"/>
    <w:rsid w:val="00613ECC"/>
    <w:rsid w:val="006207E0"/>
    <w:rsid w:val="0062091B"/>
    <w:rsid w:val="00620954"/>
    <w:rsid w:val="0062318D"/>
    <w:rsid w:val="0062495D"/>
    <w:rsid w:val="00624981"/>
    <w:rsid w:val="00627E22"/>
    <w:rsid w:val="00631BE5"/>
    <w:rsid w:val="006331BE"/>
    <w:rsid w:val="00633CDE"/>
    <w:rsid w:val="00633F8D"/>
    <w:rsid w:val="006430C0"/>
    <w:rsid w:val="00643310"/>
    <w:rsid w:val="00643A2D"/>
    <w:rsid w:val="006471FC"/>
    <w:rsid w:val="00647E0D"/>
    <w:rsid w:val="006629D1"/>
    <w:rsid w:val="006633E8"/>
    <w:rsid w:val="00666C89"/>
    <w:rsid w:val="00670879"/>
    <w:rsid w:val="0067127E"/>
    <w:rsid w:val="00673663"/>
    <w:rsid w:val="0067366A"/>
    <w:rsid w:val="00673846"/>
    <w:rsid w:val="00675E9A"/>
    <w:rsid w:val="00680B43"/>
    <w:rsid w:val="0068210D"/>
    <w:rsid w:val="0068520B"/>
    <w:rsid w:val="00685410"/>
    <w:rsid w:val="00692973"/>
    <w:rsid w:val="006947E6"/>
    <w:rsid w:val="0069622D"/>
    <w:rsid w:val="00696E60"/>
    <w:rsid w:val="00697481"/>
    <w:rsid w:val="006A1803"/>
    <w:rsid w:val="006A2164"/>
    <w:rsid w:val="006A216D"/>
    <w:rsid w:val="006B33C8"/>
    <w:rsid w:val="006B4334"/>
    <w:rsid w:val="006B4A73"/>
    <w:rsid w:val="006B4AC2"/>
    <w:rsid w:val="006C0FC6"/>
    <w:rsid w:val="006C20BF"/>
    <w:rsid w:val="006C3145"/>
    <w:rsid w:val="006C3222"/>
    <w:rsid w:val="006D32BE"/>
    <w:rsid w:val="006D7074"/>
    <w:rsid w:val="006E1348"/>
    <w:rsid w:val="006E1723"/>
    <w:rsid w:val="006E4EEF"/>
    <w:rsid w:val="006E5BD2"/>
    <w:rsid w:val="006F0305"/>
    <w:rsid w:val="006F370B"/>
    <w:rsid w:val="006F45D9"/>
    <w:rsid w:val="006F619E"/>
    <w:rsid w:val="006F66E5"/>
    <w:rsid w:val="00701E70"/>
    <w:rsid w:val="00703D54"/>
    <w:rsid w:val="007047DA"/>
    <w:rsid w:val="007057D3"/>
    <w:rsid w:val="00705AA6"/>
    <w:rsid w:val="0071368C"/>
    <w:rsid w:val="00713874"/>
    <w:rsid w:val="007162B7"/>
    <w:rsid w:val="007173A9"/>
    <w:rsid w:val="007176A9"/>
    <w:rsid w:val="00722305"/>
    <w:rsid w:val="00725976"/>
    <w:rsid w:val="007264DB"/>
    <w:rsid w:val="00726ABF"/>
    <w:rsid w:val="00730654"/>
    <w:rsid w:val="007306E2"/>
    <w:rsid w:val="00730C87"/>
    <w:rsid w:val="00733458"/>
    <w:rsid w:val="007365D4"/>
    <w:rsid w:val="00741AE7"/>
    <w:rsid w:val="007425D9"/>
    <w:rsid w:val="00742F0E"/>
    <w:rsid w:val="00743957"/>
    <w:rsid w:val="00750EC6"/>
    <w:rsid w:val="00753F45"/>
    <w:rsid w:val="0075522D"/>
    <w:rsid w:val="00760211"/>
    <w:rsid w:val="007611EE"/>
    <w:rsid w:val="00761D8D"/>
    <w:rsid w:val="00763A2D"/>
    <w:rsid w:val="00764631"/>
    <w:rsid w:val="0077019C"/>
    <w:rsid w:val="0077201A"/>
    <w:rsid w:val="00773344"/>
    <w:rsid w:val="00775441"/>
    <w:rsid w:val="00775F39"/>
    <w:rsid w:val="0077649C"/>
    <w:rsid w:val="00777583"/>
    <w:rsid w:val="007806DB"/>
    <w:rsid w:val="00782ECE"/>
    <w:rsid w:val="00783C87"/>
    <w:rsid w:val="0078483C"/>
    <w:rsid w:val="00785533"/>
    <w:rsid w:val="00793967"/>
    <w:rsid w:val="00796C63"/>
    <w:rsid w:val="0079780F"/>
    <w:rsid w:val="007A2348"/>
    <w:rsid w:val="007A2DB5"/>
    <w:rsid w:val="007A51F0"/>
    <w:rsid w:val="007B3CA3"/>
    <w:rsid w:val="007B72A2"/>
    <w:rsid w:val="007C02D4"/>
    <w:rsid w:val="007C281D"/>
    <w:rsid w:val="007C2B6F"/>
    <w:rsid w:val="007C5722"/>
    <w:rsid w:val="007C6FA5"/>
    <w:rsid w:val="007C738F"/>
    <w:rsid w:val="007C7E84"/>
    <w:rsid w:val="007D064A"/>
    <w:rsid w:val="007D3CD3"/>
    <w:rsid w:val="007D561F"/>
    <w:rsid w:val="007E1697"/>
    <w:rsid w:val="007E42E4"/>
    <w:rsid w:val="007E48A4"/>
    <w:rsid w:val="007E5AF2"/>
    <w:rsid w:val="007E73FD"/>
    <w:rsid w:val="007F0D6F"/>
    <w:rsid w:val="007F1B96"/>
    <w:rsid w:val="007F32D3"/>
    <w:rsid w:val="007F638F"/>
    <w:rsid w:val="00804428"/>
    <w:rsid w:val="00804717"/>
    <w:rsid w:val="00804ECF"/>
    <w:rsid w:val="00805AB1"/>
    <w:rsid w:val="0080618F"/>
    <w:rsid w:val="00806EAC"/>
    <w:rsid w:val="008118F5"/>
    <w:rsid w:val="0081236D"/>
    <w:rsid w:val="00815941"/>
    <w:rsid w:val="00817005"/>
    <w:rsid w:val="008243E7"/>
    <w:rsid w:val="00825A8A"/>
    <w:rsid w:val="00833CA5"/>
    <w:rsid w:val="00835838"/>
    <w:rsid w:val="008359E0"/>
    <w:rsid w:val="0083753D"/>
    <w:rsid w:val="00840613"/>
    <w:rsid w:val="00840D96"/>
    <w:rsid w:val="00845172"/>
    <w:rsid w:val="00847244"/>
    <w:rsid w:val="00852721"/>
    <w:rsid w:val="00852CFE"/>
    <w:rsid w:val="00860B87"/>
    <w:rsid w:val="00861F9F"/>
    <w:rsid w:val="008630E9"/>
    <w:rsid w:val="008733F5"/>
    <w:rsid w:val="008806D8"/>
    <w:rsid w:val="00882344"/>
    <w:rsid w:val="008831D7"/>
    <w:rsid w:val="0088361A"/>
    <w:rsid w:val="00884862"/>
    <w:rsid w:val="00884D34"/>
    <w:rsid w:val="00885096"/>
    <w:rsid w:val="00885160"/>
    <w:rsid w:val="00893194"/>
    <w:rsid w:val="008A0CED"/>
    <w:rsid w:val="008A442E"/>
    <w:rsid w:val="008A50E0"/>
    <w:rsid w:val="008A5DE2"/>
    <w:rsid w:val="008A6C5B"/>
    <w:rsid w:val="008A6D53"/>
    <w:rsid w:val="008A763E"/>
    <w:rsid w:val="008B0B45"/>
    <w:rsid w:val="008B37AC"/>
    <w:rsid w:val="008B648D"/>
    <w:rsid w:val="008C3DED"/>
    <w:rsid w:val="008C6F08"/>
    <w:rsid w:val="008C7FDD"/>
    <w:rsid w:val="008D4924"/>
    <w:rsid w:val="008D6B34"/>
    <w:rsid w:val="008D7C0F"/>
    <w:rsid w:val="008E3FC2"/>
    <w:rsid w:val="008E45DA"/>
    <w:rsid w:val="008E4647"/>
    <w:rsid w:val="008F06E6"/>
    <w:rsid w:val="008F081B"/>
    <w:rsid w:val="008F34FE"/>
    <w:rsid w:val="008F359A"/>
    <w:rsid w:val="008F6678"/>
    <w:rsid w:val="009034F2"/>
    <w:rsid w:val="00920B64"/>
    <w:rsid w:val="00922C56"/>
    <w:rsid w:val="00927C28"/>
    <w:rsid w:val="0093193E"/>
    <w:rsid w:val="00942C6B"/>
    <w:rsid w:val="00943246"/>
    <w:rsid w:val="00945AFF"/>
    <w:rsid w:val="0095016F"/>
    <w:rsid w:val="00951D32"/>
    <w:rsid w:val="009559C1"/>
    <w:rsid w:val="00956349"/>
    <w:rsid w:val="009578EC"/>
    <w:rsid w:val="00957E1B"/>
    <w:rsid w:val="00960EE2"/>
    <w:rsid w:val="00962087"/>
    <w:rsid w:val="009712EE"/>
    <w:rsid w:val="00983742"/>
    <w:rsid w:val="00984331"/>
    <w:rsid w:val="00985503"/>
    <w:rsid w:val="00987571"/>
    <w:rsid w:val="00987D93"/>
    <w:rsid w:val="00990052"/>
    <w:rsid w:val="009930C5"/>
    <w:rsid w:val="00993D5A"/>
    <w:rsid w:val="009A4B94"/>
    <w:rsid w:val="009A4C48"/>
    <w:rsid w:val="009A5897"/>
    <w:rsid w:val="009A5994"/>
    <w:rsid w:val="009B234F"/>
    <w:rsid w:val="009B2575"/>
    <w:rsid w:val="009B3F98"/>
    <w:rsid w:val="009C010A"/>
    <w:rsid w:val="009C4482"/>
    <w:rsid w:val="009C47A1"/>
    <w:rsid w:val="009C59C5"/>
    <w:rsid w:val="009D47A3"/>
    <w:rsid w:val="009D7AC7"/>
    <w:rsid w:val="009E0921"/>
    <w:rsid w:val="009E0F4E"/>
    <w:rsid w:val="009E3B37"/>
    <w:rsid w:val="009E5826"/>
    <w:rsid w:val="009E6C41"/>
    <w:rsid w:val="009F37DB"/>
    <w:rsid w:val="00A0279A"/>
    <w:rsid w:val="00A056DD"/>
    <w:rsid w:val="00A11367"/>
    <w:rsid w:val="00A1139E"/>
    <w:rsid w:val="00A174EF"/>
    <w:rsid w:val="00A177B4"/>
    <w:rsid w:val="00A20ED2"/>
    <w:rsid w:val="00A23D15"/>
    <w:rsid w:val="00A27263"/>
    <w:rsid w:val="00A3263E"/>
    <w:rsid w:val="00A33EBF"/>
    <w:rsid w:val="00A36FD0"/>
    <w:rsid w:val="00A41102"/>
    <w:rsid w:val="00A4118D"/>
    <w:rsid w:val="00A4261C"/>
    <w:rsid w:val="00A434C5"/>
    <w:rsid w:val="00A4524A"/>
    <w:rsid w:val="00A455A9"/>
    <w:rsid w:val="00A45805"/>
    <w:rsid w:val="00A4656F"/>
    <w:rsid w:val="00A47B21"/>
    <w:rsid w:val="00A53410"/>
    <w:rsid w:val="00A54A57"/>
    <w:rsid w:val="00A55CB2"/>
    <w:rsid w:val="00A5680C"/>
    <w:rsid w:val="00A57130"/>
    <w:rsid w:val="00A65557"/>
    <w:rsid w:val="00A66022"/>
    <w:rsid w:val="00A700B6"/>
    <w:rsid w:val="00A7253F"/>
    <w:rsid w:val="00A773E9"/>
    <w:rsid w:val="00A92DF5"/>
    <w:rsid w:val="00A93E5E"/>
    <w:rsid w:val="00A9444A"/>
    <w:rsid w:val="00A94C37"/>
    <w:rsid w:val="00A97775"/>
    <w:rsid w:val="00A97DFB"/>
    <w:rsid w:val="00AA285C"/>
    <w:rsid w:val="00AA42AD"/>
    <w:rsid w:val="00AA5615"/>
    <w:rsid w:val="00AA646C"/>
    <w:rsid w:val="00AA6721"/>
    <w:rsid w:val="00AB009D"/>
    <w:rsid w:val="00AB268C"/>
    <w:rsid w:val="00AB36AC"/>
    <w:rsid w:val="00AB4022"/>
    <w:rsid w:val="00AB6DB9"/>
    <w:rsid w:val="00AB6FF7"/>
    <w:rsid w:val="00AC47A9"/>
    <w:rsid w:val="00AC719B"/>
    <w:rsid w:val="00AD36EC"/>
    <w:rsid w:val="00AD3AFC"/>
    <w:rsid w:val="00AE25A3"/>
    <w:rsid w:val="00AE524A"/>
    <w:rsid w:val="00AE75DE"/>
    <w:rsid w:val="00AF03BC"/>
    <w:rsid w:val="00AF3F2C"/>
    <w:rsid w:val="00AF69ED"/>
    <w:rsid w:val="00AF6BF9"/>
    <w:rsid w:val="00AF73EF"/>
    <w:rsid w:val="00B06591"/>
    <w:rsid w:val="00B06B83"/>
    <w:rsid w:val="00B12F4C"/>
    <w:rsid w:val="00B16048"/>
    <w:rsid w:val="00B173EC"/>
    <w:rsid w:val="00B21BAF"/>
    <w:rsid w:val="00B25ED9"/>
    <w:rsid w:val="00B312C5"/>
    <w:rsid w:val="00B41726"/>
    <w:rsid w:val="00B4298D"/>
    <w:rsid w:val="00B44C39"/>
    <w:rsid w:val="00B45A01"/>
    <w:rsid w:val="00B47741"/>
    <w:rsid w:val="00B51011"/>
    <w:rsid w:val="00B52BB5"/>
    <w:rsid w:val="00B54097"/>
    <w:rsid w:val="00B55DC6"/>
    <w:rsid w:val="00B574AD"/>
    <w:rsid w:val="00B5789A"/>
    <w:rsid w:val="00B61773"/>
    <w:rsid w:val="00B67856"/>
    <w:rsid w:val="00B814FF"/>
    <w:rsid w:val="00B84503"/>
    <w:rsid w:val="00B858C3"/>
    <w:rsid w:val="00BB0527"/>
    <w:rsid w:val="00BB477F"/>
    <w:rsid w:val="00BB688B"/>
    <w:rsid w:val="00BC1A4A"/>
    <w:rsid w:val="00BC28DB"/>
    <w:rsid w:val="00BC4BD4"/>
    <w:rsid w:val="00BC4CEE"/>
    <w:rsid w:val="00BC4F5E"/>
    <w:rsid w:val="00BD10D8"/>
    <w:rsid w:val="00BD1A13"/>
    <w:rsid w:val="00BD4810"/>
    <w:rsid w:val="00BD5B9F"/>
    <w:rsid w:val="00BD64F1"/>
    <w:rsid w:val="00BE0E18"/>
    <w:rsid w:val="00BE166E"/>
    <w:rsid w:val="00BE1A70"/>
    <w:rsid w:val="00BE2C06"/>
    <w:rsid w:val="00BE4016"/>
    <w:rsid w:val="00BE6A39"/>
    <w:rsid w:val="00BF0593"/>
    <w:rsid w:val="00BF2226"/>
    <w:rsid w:val="00BF4166"/>
    <w:rsid w:val="00C063B8"/>
    <w:rsid w:val="00C065DB"/>
    <w:rsid w:val="00C0777D"/>
    <w:rsid w:val="00C12A95"/>
    <w:rsid w:val="00C14529"/>
    <w:rsid w:val="00C17A1D"/>
    <w:rsid w:val="00C215D2"/>
    <w:rsid w:val="00C276B2"/>
    <w:rsid w:val="00C3117A"/>
    <w:rsid w:val="00C349E0"/>
    <w:rsid w:val="00C36192"/>
    <w:rsid w:val="00C36903"/>
    <w:rsid w:val="00C36FC6"/>
    <w:rsid w:val="00C37773"/>
    <w:rsid w:val="00C37E43"/>
    <w:rsid w:val="00C41F6E"/>
    <w:rsid w:val="00C4583E"/>
    <w:rsid w:val="00C51E36"/>
    <w:rsid w:val="00C55BCC"/>
    <w:rsid w:val="00C60051"/>
    <w:rsid w:val="00C625E8"/>
    <w:rsid w:val="00C71E8F"/>
    <w:rsid w:val="00C73BB6"/>
    <w:rsid w:val="00C8363E"/>
    <w:rsid w:val="00C83F71"/>
    <w:rsid w:val="00C8508C"/>
    <w:rsid w:val="00C8524D"/>
    <w:rsid w:val="00C86074"/>
    <w:rsid w:val="00C879A2"/>
    <w:rsid w:val="00C93D90"/>
    <w:rsid w:val="00CA3878"/>
    <w:rsid w:val="00CA3C9A"/>
    <w:rsid w:val="00CA3EED"/>
    <w:rsid w:val="00CA6F13"/>
    <w:rsid w:val="00CB60D6"/>
    <w:rsid w:val="00CB7A86"/>
    <w:rsid w:val="00CC63BF"/>
    <w:rsid w:val="00CD140B"/>
    <w:rsid w:val="00CD16D0"/>
    <w:rsid w:val="00CE1725"/>
    <w:rsid w:val="00CE7017"/>
    <w:rsid w:val="00CF0920"/>
    <w:rsid w:val="00CF512A"/>
    <w:rsid w:val="00D004AE"/>
    <w:rsid w:val="00D06251"/>
    <w:rsid w:val="00D0770C"/>
    <w:rsid w:val="00D078EF"/>
    <w:rsid w:val="00D07EC0"/>
    <w:rsid w:val="00D122C1"/>
    <w:rsid w:val="00D20684"/>
    <w:rsid w:val="00D22C86"/>
    <w:rsid w:val="00D247CE"/>
    <w:rsid w:val="00D26E3B"/>
    <w:rsid w:val="00D3205B"/>
    <w:rsid w:val="00D32B59"/>
    <w:rsid w:val="00D33605"/>
    <w:rsid w:val="00D3419F"/>
    <w:rsid w:val="00D348A4"/>
    <w:rsid w:val="00D375DC"/>
    <w:rsid w:val="00D401B1"/>
    <w:rsid w:val="00D40975"/>
    <w:rsid w:val="00D41004"/>
    <w:rsid w:val="00D41078"/>
    <w:rsid w:val="00D5340D"/>
    <w:rsid w:val="00D5457D"/>
    <w:rsid w:val="00D55922"/>
    <w:rsid w:val="00D55D40"/>
    <w:rsid w:val="00D63E39"/>
    <w:rsid w:val="00D7540D"/>
    <w:rsid w:val="00D75E26"/>
    <w:rsid w:val="00D77A80"/>
    <w:rsid w:val="00D8217C"/>
    <w:rsid w:val="00D8727F"/>
    <w:rsid w:val="00D90261"/>
    <w:rsid w:val="00D92752"/>
    <w:rsid w:val="00DA2A9C"/>
    <w:rsid w:val="00DA494B"/>
    <w:rsid w:val="00DA6A27"/>
    <w:rsid w:val="00DA7361"/>
    <w:rsid w:val="00DB0281"/>
    <w:rsid w:val="00DB4C42"/>
    <w:rsid w:val="00DC0730"/>
    <w:rsid w:val="00DC2429"/>
    <w:rsid w:val="00DC6764"/>
    <w:rsid w:val="00DD37B8"/>
    <w:rsid w:val="00DD4540"/>
    <w:rsid w:val="00DD6C7D"/>
    <w:rsid w:val="00DE6F9A"/>
    <w:rsid w:val="00DF06C4"/>
    <w:rsid w:val="00DF3C01"/>
    <w:rsid w:val="00DF64D3"/>
    <w:rsid w:val="00E006F3"/>
    <w:rsid w:val="00E03707"/>
    <w:rsid w:val="00E046A0"/>
    <w:rsid w:val="00E074AD"/>
    <w:rsid w:val="00E12349"/>
    <w:rsid w:val="00E13AAE"/>
    <w:rsid w:val="00E14CB5"/>
    <w:rsid w:val="00E20DA7"/>
    <w:rsid w:val="00E22755"/>
    <w:rsid w:val="00E308FC"/>
    <w:rsid w:val="00E31EAA"/>
    <w:rsid w:val="00E33293"/>
    <w:rsid w:val="00E33D5A"/>
    <w:rsid w:val="00E3546F"/>
    <w:rsid w:val="00E35ED9"/>
    <w:rsid w:val="00E36BF5"/>
    <w:rsid w:val="00E37020"/>
    <w:rsid w:val="00E40861"/>
    <w:rsid w:val="00E45391"/>
    <w:rsid w:val="00E4679F"/>
    <w:rsid w:val="00E47528"/>
    <w:rsid w:val="00E516AF"/>
    <w:rsid w:val="00E54958"/>
    <w:rsid w:val="00E613A3"/>
    <w:rsid w:val="00E61B9D"/>
    <w:rsid w:val="00E64FA0"/>
    <w:rsid w:val="00E70CFA"/>
    <w:rsid w:val="00E74A3A"/>
    <w:rsid w:val="00E74B11"/>
    <w:rsid w:val="00E755A6"/>
    <w:rsid w:val="00E7648B"/>
    <w:rsid w:val="00E82A82"/>
    <w:rsid w:val="00E87EA5"/>
    <w:rsid w:val="00E938A0"/>
    <w:rsid w:val="00EA0314"/>
    <w:rsid w:val="00EA3CC2"/>
    <w:rsid w:val="00EB0C22"/>
    <w:rsid w:val="00EB1949"/>
    <w:rsid w:val="00EB3D3B"/>
    <w:rsid w:val="00EB4965"/>
    <w:rsid w:val="00EC0C5E"/>
    <w:rsid w:val="00EC10D6"/>
    <w:rsid w:val="00EC20FD"/>
    <w:rsid w:val="00EC3CF7"/>
    <w:rsid w:val="00ED1750"/>
    <w:rsid w:val="00ED58E1"/>
    <w:rsid w:val="00EE0439"/>
    <w:rsid w:val="00EE23E2"/>
    <w:rsid w:val="00EE4154"/>
    <w:rsid w:val="00EE6C91"/>
    <w:rsid w:val="00EF11B5"/>
    <w:rsid w:val="00EF27F4"/>
    <w:rsid w:val="00EF4BC0"/>
    <w:rsid w:val="00EF4DDC"/>
    <w:rsid w:val="00F00547"/>
    <w:rsid w:val="00F067E0"/>
    <w:rsid w:val="00F07D76"/>
    <w:rsid w:val="00F226AD"/>
    <w:rsid w:val="00F23151"/>
    <w:rsid w:val="00F319C9"/>
    <w:rsid w:val="00F34761"/>
    <w:rsid w:val="00F4175E"/>
    <w:rsid w:val="00F41F14"/>
    <w:rsid w:val="00F421FB"/>
    <w:rsid w:val="00F43DB2"/>
    <w:rsid w:val="00F43EC9"/>
    <w:rsid w:val="00F44028"/>
    <w:rsid w:val="00F45D5B"/>
    <w:rsid w:val="00F516CD"/>
    <w:rsid w:val="00F524EE"/>
    <w:rsid w:val="00F53517"/>
    <w:rsid w:val="00F535B6"/>
    <w:rsid w:val="00F54C79"/>
    <w:rsid w:val="00F56BC5"/>
    <w:rsid w:val="00F57B41"/>
    <w:rsid w:val="00F600EF"/>
    <w:rsid w:val="00F626B3"/>
    <w:rsid w:val="00F709AC"/>
    <w:rsid w:val="00F7117A"/>
    <w:rsid w:val="00F72564"/>
    <w:rsid w:val="00F762C4"/>
    <w:rsid w:val="00F77500"/>
    <w:rsid w:val="00F829D7"/>
    <w:rsid w:val="00F926EE"/>
    <w:rsid w:val="00F979A4"/>
    <w:rsid w:val="00F979BE"/>
    <w:rsid w:val="00FA180C"/>
    <w:rsid w:val="00FA517D"/>
    <w:rsid w:val="00FA756A"/>
    <w:rsid w:val="00FB0DF5"/>
    <w:rsid w:val="00FB39D2"/>
    <w:rsid w:val="00FB783F"/>
    <w:rsid w:val="00FC1B51"/>
    <w:rsid w:val="00FC4C8E"/>
    <w:rsid w:val="00FC5B21"/>
    <w:rsid w:val="00FC746D"/>
    <w:rsid w:val="00FD0F78"/>
    <w:rsid w:val="00FD1BFD"/>
    <w:rsid w:val="00FD4A04"/>
    <w:rsid w:val="00FE111E"/>
    <w:rsid w:val="00FE3063"/>
    <w:rsid w:val="00FE6320"/>
    <w:rsid w:val="00FF30CE"/>
    <w:rsid w:val="00FF5D91"/>
    <w:rsid w:val="00FF616C"/>
    <w:rsid w:val="00FF763D"/>
    <w:rsid w:val="2F174C3F"/>
    <w:rsid w:val="4EA76EC0"/>
    <w:rsid w:val="71013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DAF7"/>
  <w15:docId w15:val="{68A0C817-E528-43B4-92BB-543F004A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78"/>
    <w:rPr>
      <w:rFonts w:ascii="Gill Sans Nova Light" w:hAnsi="Gill Sans Nova Light"/>
    </w:rPr>
  </w:style>
  <w:style w:type="paragraph" w:styleId="Heading1">
    <w:name w:val="heading 1"/>
    <w:basedOn w:val="Normal"/>
    <w:next w:val="Normal"/>
    <w:link w:val="Heading1Char"/>
    <w:uiPriority w:val="9"/>
    <w:qFormat/>
    <w:rsid w:val="00BE690F"/>
    <w:pPr>
      <w:keepNext/>
      <w:pageBreakBefore/>
      <w:pBdr>
        <w:top w:val="single" w:sz="12" w:space="5" w:color="BA0C2F"/>
        <w:bottom w:val="single" w:sz="12" w:space="5" w:color="BA0C2F"/>
      </w:pBdr>
      <w:shd w:val="clear" w:color="000000" w:fill="auto"/>
      <w:tabs>
        <w:tab w:val="left" w:pos="0"/>
      </w:tabs>
      <w:spacing w:after="900"/>
      <w:outlineLvl w:val="0"/>
    </w:pPr>
    <w:rPr>
      <w:rFonts w:ascii="Gill Sans" w:eastAsia="Times New Roman" w:hAnsi="Gill Sans" w:cs="Times New Roman"/>
      <w:snapToGrid w:val="0"/>
      <w:color w:val="002F6C"/>
      <w:sz w:val="60"/>
      <w:szCs w:val="20"/>
    </w:rPr>
  </w:style>
  <w:style w:type="paragraph" w:styleId="Heading2">
    <w:name w:val="heading 2"/>
    <w:basedOn w:val="Normal"/>
    <w:next w:val="Normal"/>
    <w:link w:val="Heading2Char"/>
    <w:uiPriority w:val="9"/>
    <w:unhideWhenUsed/>
    <w:qFormat/>
    <w:rsid w:val="00261961"/>
    <w:pPr>
      <w:keepNext/>
      <w:shd w:val="clear" w:color="C0C0C0" w:fill="auto"/>
      <w:tabs>
        <w:tab w:val="left" w:pos="720"/>
      </w:tabs>
      <w:spacing w:before="160" w:after="80"/>
      <w:outlineLvl w:val="1"/>
    </w:pPr>
    <w:rPr>
      <w:rFonts w:ascii="Gill Sans" w:eastAsia="Times New Roman" w:hAnsi="Gill Sans" w:cs="Times New Roman"/>
      <w:snapToGrid w:val="0"/>
      <w:color w:val="002A6C"/>
      <w:sz w:val="32"/>
      <w:szCs w:val="20"/>
    </w:rPr>
  </w:style>
  <w:style w:type="paragraph" w:styleId="Heading3">
    <w:name w:val="heading 3"/>
    <w:basedOn w:val="Heading2"/>
    <w:next w:val="Normal"/>
    <w:link w:val="Heading3Char"/>
    <w:uiPriority w:val="9"/>
    <w:semiHidden/>
    <w:unhideWhenUsed/>
    <w:qFormat/>
    <w:rsid w:val="001415C8"/>
    <w:pPr>
      <w:numPr>
        <w:ilvl w:val="2"/>
      </w:numPr>
      <w:shd w:val="clear" w:color="C0C0C0" w:fill="FFFFFF"/>
      <w:outlineLvl w:val="2"/>
    </w:pPr>
    <w:rPr>
      <w:sz w:val="28"/>
      <w:u w:color="808080"/>
    </w:rPr>
  </w:style>
  <w:style w:type="paragraph" w:styleId="Heading4">
    <w:name w:val="heading 4"/>
    <w:basedOn w:val="Heading3"/>
    <w:next w:val="Normal"/>
    <w:link w:val="Heading4Char"/>
    <w:uiPriority w:val="9"/>
    <w:semiHidden/>
    <w:unhideWhenUsed/>
    <w:qFormat/>
    <w:rsid w:val="001415C8"/>
    <w:pPr>
      <w:numPr>
        <w:ilvl w:val="3"/>
      </w:numPr>
      <w:outlineLvl w:val="3"/>
    </w:pPr>
    <w:rPr>
      <w:i/>
      <w:sz w:val="24"/>
    </w:rPr>
  </w:style>
  <w:style w:type="paragraph" w:styleId="Heading5">
    <w:name w:val="heading 5"/>
    <w:basedOn w:val="Normal"/>
    <w:next w:val="Normal"/>
    <w:link w:val="Heading5Char"/>
    <w:uiPriority w:val="9"/>
    <w:semiHidden/>
    <w:unhideWhenUsed/>
    <w:qFormat/>
    <w:rsid w:val="001415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15C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15C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15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15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BodyText">
    <w:name w:val="1-Body Text"/>
    <w:basedOn w:val="Normal"/>
    <w:qFormat/>
    <w:rsid w:val="001415C8"/>
  </w:style>
  <w:style w:type="character" w:styleId="Hyperlink">
    <w:name w:val="Hyperlink"/>
    <w:basedOn w:val="DefaultParagraphFont"/>
    <w:uiPriority w:val="99"/>
    <w:unhideWhenUsed/>
    <w:rsid w:val="001415C8"/>
    <w:rPr>
      <w:color w:val="0563C1" w:themeColor="hyperlink"/>
      <w:u w:val="single"/>
    </w:rPr>
  </w:style>
  <w:style w:type="character" w:styleId="UnresolvedMention">
    <w:name w:val="Unresolved Mention"/>
    <w:basedOn w:val="DefaultParagraphFont"/>
    <w:uiPriority w:val="99"/>
    <w:semiHidden/>
    <w:unhideWhenUsed/>
    <w:rsid w:val="001415C8"/>
    <w:rPr>
      <w:color w:val="605E5C"/>
      <w:shd w:val="clear" w:color="auto" w:fill="E1DFDD"/>
    </w:rPr>
  </w:style>
  <w:style w:type="character" w:customStyle="1" w:styleId="Heading1Char">
    <w:name w:val="Heading 1 Char"/>
    <w:basedOn w:val="DefaultParagraphFont"/>
    <w:link w:val="Heading1"/>
    <w:rsid w:val="00BE690F"/>
    <w:rPr>
      <w:rFonts w:ascii="Gill Sans" w:eastAsia="Times New Roman" w:hAnsi="Gill Sans" w:cs="Times New Roman"/>
      <w:snapToGrid w:val="0"/>
      <w:color w:val="002F6C"/>
      <w:sz w:val="60"/>
      <w:szCs w:val="20"/>
      <w:shd w:val="clear" w:color="000000" w:fill="auto"/>
    </w:rPr>
  </w:style>
  <w:style w:type="character" w:customStyle="1" w:styleId="Heading2Char">
    <w:name w:val="Heading 2 Char"/>
    <w:basedOn w:val="DefaultParagraphFont"/>
    <w:link w:val="Heading2"/>
    <w:rsid w:val="00261961"/>
    <w:rPr>
      <w:rFonts w:ascii="Gill Sans" w:eastAsia="Times New Roman" w:hAnsi="Gill Sans" w:cs="Times New Roman"/>
      <w:snapToGrid w:val="0"/>
      <w:color w:val="002A6C"/>
      <w:sz w:val="32"/>
      <w:szCs w:val="20"/>
      <w:shd w:val="clear" w:color="C0C0C0" w:fill="auto"/>
    </w:rPr>
  </w:style>
  <w:style w:type="character" w:customStyle="1" w:styleId="Heading3Char">
    <w:name w:val="Heading 3 Char"/>
    <w:basedOn w:val="DefaultParagraphFont"/>
    <w:link w:val="Heading3"/>
    <w:rsid w:val="001415C8"/>
    <w:rPr>
      <w:rFonts w:ascii="Arial" w:eastAsia="Times New Roman" w:hAnsi="Arial" w:cs="Times New Roman"/>
      <w:smallCaps/>
      <w:snapToGrid w:val="0"/>
      <w:color w:val="002A6C"/>
      <w:sz w:val="28"/>
      <w:szCs w:val="20"/>
      <w:u w:color="808080"/>
      <w:shd w:val="clear" w:color="C0C0C0" w:fill="FFFFFF"/>
    </w:rPr>
  </w:style>
  <w:style w:type="character" w:customStyle="1" w:styleId="Heading4Char">
    <w:name w:val="Heading 4 Char"/>
    <w:basedOn w:val="DefaultParagraphFont"/>
    <w:link w:val="Heading4"/>
    <w:rsid w:val="001415C8"/>
    <w:rPr>
      <w:rFonts w:ascii="Arial" w:eastAsia="Times New Roman" w:hAnsi="Arial" w:cs="Times New Roman"/>
      <w:i/>
      <w:smallCaps/>
      <w:snapToGrid w:val="0"/>
      <w:color w:val="002A6C"/>
      <w:sz w:val="24"/>
      <w:szCs w:val="20"/>
      <w:u w:color="808080"/>
      <w:shd w:val="clear" w:color="C0C0C0" w:fill="FFFFFF"/>
    </w:rPr>
  </w:style>
  <w:style w:type="character" w:customStyle="1" w:styleId="Heading5Char">
    <w:name w:val="Heading 5 Char"/>
    <w:basedOn w:val="DefaultParagraphFont"/>
    <w:link w:val="Heading5"/>
    <w:uiPriority w:val="9"/>
    <w:semiHidden/>
    <w:rsid w:val="001415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415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415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41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15C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415C8"/>
    <w:pPr>
      <w:tabs>
        <w:tab w:val="center" w:pos="4680"/>
        <w:tab w:val="right" w:pos="9360"/>
      </w:tabs>
      <w:spacing w:after="0"/>
    </w:pPr>
  </w:style>
  <w:style w:type="character" w:customStyle="1" w:styleId="HeaderChar">
    <w:name w:val="Header Char"/>
    <w:basedOn w:val="DefaultParagraphFont"/>
    <w:link w:val="Header"/>
    <w:rsid w:val="001415C8"/>
  </w:style>
  <w:style w:type="paragraph" w:styleId="Footer">
    <w:name w:val="footer"/>
    <w:basedOn w:val="Normal"/>
    <w:link w:val="FooterChar"/>
    <w:uiPriority w:val="99"/>
    <w:unhideWhenUsed/>
    <w:rsid w:val="001415C8"/>
    <w:pPr>
      <w:tabs>
        <w:tab w:val="center" w:pos="4680"/>
        <w:tab w:val="right" w:pos="9360"/>
      </w:tabs>
      <w:spacing w:after="0"/>
    </w:pPr>
  </w:style>
  <w:style w:type="character" w:customStyle="1" w:styleId="FooterChar">
    <w:name w:val="Footer Char"/>
    <w:basedOn w:val="DefaultParagraphFont"/>
    <w:link w:val="Footer"/>
    <w:uiPriority w:val="99"/>
    <w:rsid w:val="001415C8"/>
  </w:style>
  <w:style w:type="paragraph" w:customStyle="1" w:styleId="Contents">
    <w:name w:val="Contents"/>
    <w:basedOn w:val="Heading1"/>
    <w:qFormat/>
    <w:rsid w:val="00405868"/>
    <w:pPr>
      <w:ind w:left="14"/>
      <w:outlineLvl w:val="9"/>
    </w:pPr>
  </w:style>
  <w:style w:type="paragraph" w:customStyle="1" w:styleId="1LevelNoNumber">
    <w:name w:val="1 Level No Number"/>
    <w:basedOn w:val="Heading1"/>
    <w:qFormat/>
    <w:rsid w:val="00405868"/>
    <w:pPr>
      <w:ind w:left="14"/>
    </w:pPr>
  </w:style>
  <w:style w:type="paragraph" w:styleId="TOC1">
    <w:name w:val="toc 1"/>
    <w:basedOn w:val="Normal"/>
    <w:next w:val="Normal"/>
    <w:autoRedefine/>
    <w:uiPriority w:val="39"/>
    <w:unhideWhenUsed/>
    <w:rsid w:val="00405868"/>
    <w:pPr>
      <w:tabs>
        <w:tab w:val="right" w:leader="dot" w:pos="9350"/>
      </w:tabs>
      <w:spacing w:after="100"/>
      <w:ind w:left="450" w:hanging="450"/>
    </w:pPr>
    <w:rPr>
      <w:b/>
      <w:bCs/>
      <w:noProof/>
    </w:rPr>
  </w:style>
  <w:style w:type="paragraph" w:styleId="TOC2">
    <w:name w:val="toc 2"/>
    <w:basedOn w:val="Normal"/>
    <w:next w:val="Normal"/>
    <w:autoRedefine/>
    <w:uiPriority w:val="39"/>
    <w:unhideWhenUsed/>
    <w:rsid w:val="00405868"/>
    <w:pPr>
      <w:tabs>
        <w:tab w:val="left" w:pos="880"/>
        <w:tab w:val="right" w:leader="dot" w:pos="9350"/>
      </w:tabs>
      <w:spacing w:after="100"/>
      <w:ind w:left="450"/>
    </w:pPr>
  </w:style>
  <w:style w:type="table" w:styleId="TableGrid">
    <w:name w:val="Table Grid"/>
    <w:basedOn w:val="TableNormal"/>
    <w:uiPriority w:val="39"/>
    <w:rsid w:val="009F71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next w:val="Caption"/>
    <w:qFormat/>
    <w:rsid w:val="003F299B"/>
    <w:pPr>
      <w:spacing w:after="120"/>
      <w:jc w:val="center"/>
    </w:pPr>
    <w:rPr>
      <w:rFonts w:ascii="Gill Sans" w:hAnsi="Gill Sans"/>
      <w:b/>
      <w:bCs/>
      <w:i w:val="0"/>
      <w:iCs w:val="0"/>
      <w:color w:val="BA0C2F"/>
      <w:sz w:val="24"/>
      <w:szCs w:val="24"/>
    </w:rPr>
  </w:style>
  <w:style w:type="paragraph" w:customStyle="1" w:styleId="TableHeader">
    <w:name w:val="Table Header"/>
    <w:basedOn w:val="1-BodyText"/>
    <w:qFormat/>
    <w:rsid w:val="003F299B"/>
    <w:pPr>
      <w:spacing w:after="0"/>
      <w:jc w:val="center"/>
    </w:pPr>
    <w:rPr>
      <w:b/>
      <w:bCs/>
      <w:color w:val="FFFFFF" w:themeColor="background1"/>
      <w:sz w:val="20"/>
      <w:szCs w:val="20"/>
    </w:rPr>
  </w:style>
  <w:style w:type="paragraph" w:styleId="Caption">
    <w:name w:val="caption"/>
    <w:basedOn w:val="Normal"/>
    <w:next w:val="Normal"/>
    <w:uiPriority w:val="35"/>
    <w:semiHidden/>
    <w:unhideWhenUsed/>
    <w:qFormat/>
    <w:rsid w:val="003F299B"/>
    <w:pPr>
      <w:spacing w:after="200"/>
    </w:pPr>
    <w:rPr>
      <w:i/>
      <w:iCs/>
      <w:color w:val="44546A" w:themeColor="text2"/>
      <w:sz w:val="18"/>
      <w:szCs w:val="18"/>
    </w:rPr>
  </w:style>
  <w:style w:type="paragraph" w:customStyle="1" w:styleId="FigureTitle">
    <w:name w:val="Figure Title"/>
    <w:basedOn w:val="TableTitle"/>
    <w:qFormat/>
    <w:rsid w:val="003F299B"/>
  </w:style>
  <w:style w:type="character" w:styleId="CommentReference">
    <w:name w:val="annotation reference"/>
    <w:basedOn w:val="DefaultParagraphFont"/>
    <w:uiPriority w:val="99"/>
    <w:semiHidden/>
    <w:unhideWhenUsed/>
    <w:rsid w:val="00D46213"/>
    <w:rPr>
      <w:sz w:val="16"/>
      <w:szCs w:val="16"/>
    </w:rPr>
  </w:style>
  <w:style w:type="paragraph" w:styleId="CommentText">
    <w:name w:val="annotation text"/>
    <w:basedOn w:val="Normal"/>
    <w:link w:val="CommentTextChar"/>
    <w:uiPriority w:val="99"/>
    <w:unhideWhenUsed/>
    <w:rsid w:val="00D46213"/>
    <w:rPr>
      <w:sz w:val="20"/>
      <w:szCs w:val="20"/>
    </w:rPr>
  </w:style>
  <w:style w:type="character" w:customStyle="1" w:styleId="CommentTextChar">
    <w:name w:val="Comment Text Char"/>
    <w:basedOn w:val="DefaultParagraphFont"/>
    <w:link w:val="CommentText"/>
    <w:uiPriority w:val="99"/>
    <w:rsid w:val="00D46213"/>
    <w:rPr>
      <w:rFonts w:ascii="Gill Sans Nova Light" w:hAnsi="Gill Sans Nova Light"/>
      <w:sz w:val="20"/>
      <w:szCs w:val="20"/>
    </w:rPr>
  </w:style>
  <w:style w:type="paragraph" w:styleId="CommentSubject">
    <w:name w:val="annotation subject"/>
    <w:basedOn w:val="CommentText"/>
    <w:next w:val="CommentText"/>
    <w:link w:val="CommentSubjectChar"/>
    <w:uiPriority w:val="99"/>
    <w:semiHidden/>
    <w:unhideWhenUsed/>
    <w:rsid w:val="00D46213"/>
    <w:rPr>
      <w:b/>
      <w:bCs/>
    </w:rPr>
  </w:style>
  <w:style w:type="character" w:customStyle="1" w:styleId="CommentSubjectChar">
    <w:name w:val="Comment Subject Char"/>
    <w:basedOn w:val="CommentTextChar"/>
    <w:link w:val="CommentSubject"/>
    <w:uiPriority w:val="99"/>
    <w:semiHidden/>
    <w:rsid w:val="00D46213"/>
    <w:rPr>
      <w:rFonts w:ascii="Gill Sans Nova Light" w:hAnsi="Gill Sans Nova Light"/>
      <w:b/>
      <w:bCs/>
      <w:sz w:val="20"/>
      <w:szCs w:val="20"/>
    </w:rPr>
  </w:style>
  <w:style w:type="paragraph" w:customStyle="1" w:styleId="AcronymsBold">
    <w:name w:val="Acronyms Bold"/>
    <w:basedOn w:val="Normal"/>
    <w:link w:val="AcronymsBoldChar"/>
    <w:rsid w:val="0003082B"/>
    <w:pPr>
      <w:keepNext/>
      <w:tabs>
        <w:tab w:val="left" w:pos="2160"/>
        <w:tab w:val="left" w:pos="2880"/>
      </w:tabs>
      <w:spacing w:after="120"/>
      <w:ind w:left="360"/>
    </w:pPr>
    <w:rPr>
      <w:rFonts w:ascii="Garamond" w:eastAsia="Times New Roman" w:hAnsi="Garamond" w:cs="Times New Roman"/>
      <w:b/>
      <w:bCs/>
      <w:snapToGrid w:val="0"/>
      <w:szCs w:val="20"/>
    </w:rPr>
  </w:style>
  <w:style w:type="character" w:customStyle="1" w:styleId="AcronymsBoldChar">
    <w:name w:val="Acronyms Bold Char"/>
    <w:basedOn w:val="DefaultParagraphFont"/>
    <w:link w:val="AcronymsBold"/>
    <w:rsid w:val="0003082B"/>
    <w:rPr>
      <w:rFonts w:ascii="Garamond" w:eastAsia="Times New Roman" w:hAnsi="Garamond" w:cs="Times New Roman"/>
      <w:b/>
      <w:bCs/>
      <w:snapToGrid w:val="0"/>
      <w:szCs w:val="20"/>
    </w:rPr>
  </w:style>
  <w:style w:type="paragraph" w:styleId="ListParagraph">
    <w:name w:val="List Paragraph"/>
    <w:basedOn w:val="Normal"/>
    <w:uiPriority w:val="34"/>
    <w:qFormat/>
    <w:rsid w:val="00521B8F"/>
    <w:pPr>
      <w:ind w:left="720"/>
      <w:contextualSpacing/>
    </w:pPr>
  </w:style>
  <w:style w:type="paragraph" w:customStyle="1" w:styleId="1-BodyTextItalics">
    <w:name w:val="1-Body Text + Italics"/>
    <w:basedOn w:val="1-BodyText"/>
    <w:qFormat/>
    <w:rsid w:val="005A04B6"/>
    <w:rPr>
      <w:i/>
    </w:rPr>
  </w:style>
  <w:style w:type="paragraph" w:customStyle="1" w:styleId="1-BodyTextBoldCentered">
    <w:name w:val="1-Body Text (Bold+Centered)"/>
    <w:basedOn w:val="1-BodyText"/>
    <w:qFormat/>
    <w:rsid w:val="00553887"/>
    <w:pPr>
      <w:jc w:val="center"/>
    </w:pPr>
    <w:rPr>
      <w:b/>
    </w:rPr>
  </w:style>
  <w:style w:type="table" w:customStyle="1" w:styleId="TableGrid1">
    <w:name w:val="Table Grid1"/>
    <w:basedOn w:val="TableNormal"/>
    <w:next w:val="TableGrid"/>
    <w:uiPriority w:val="59"/>
    <w:rsid w:val="00FE663E"/>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06A8"/>
    <w:pPr>
      <w:spacing w:after="0"/>
    </w:pPr>
    <w:rPr>
      <w:rFonts w:ascii="Gill Sans Nova Light" w:hAnsi="Gill Sans Nova Light"/>
    </w:rPr>
  </w:style>
  <w:style w:type="character" w:styleId="Mention">
    <w:name w:val="Mention"/>
    <w:basedOn w:val="DefaultParagraphFont"/>
    <w:uiPriority w:val="99"/>
    <w:unhideWhenUsed/>
    <w:rsid w:val="0037521B"/>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 w:type="paragraph" w:styleId="FootnoteText">
    <w:name w:val="footnote text"/>
    <w:basedOn w:val="Normal"/>
    <w:link w:val="FootnoteTextChar"/>
    <w:uiPriority w:val="99"/>
    <w:semiHidden/>
    <w:unhideWhenUsed/>
    <w:rsid w:val="005D5C98"/>
    <w:pPr>
      <w:spacing w:after="0"/>
    </w:pPr>
    <w:rPr>
      <w:sz w:val="20"/>
      <w:szCs w:val="20"/>
    </w:rPr>
  </w:style>
  <w:style w:type="character" w:customStyle="1" w:styleId="FootnoteTextChar">
    <w:name w:val="Footnote Text Char"/>
    <w:basedOn w:val="DefaultParagraphFont"/>
    <w:link w:val="FootnoteText"/>
    <w:uiPriority w:val="99"/>
    <w:semiHidden/>
    <w:rsid w:val="005D5C98"/>
    <w:rPr>
      <w:rFonts w:ascii="Gill Sans Nova Light" w:hAnsi="Gill Sans Nova Light"/>
      <w:sz w:val="20"/>
      <w:szCs w:val="20"/>
    </w:rPr>
  </w:style>
  <w:style w:type="character" w:styleId="FootnoteReference">
    <w:name w:val="footnote reference"/>
    <w:basedOn w:val="DefaultParagraphFont"/>
    <w:uiPriority w:val="99"/>
    <w:semiHidden/>
    <w:unhideWhenUsed/>
    <w:rsid w:val="005D5C98"/>
    <w:rPr>
      <w:vertAlign w:val="superscript"/>
    </w:rPr>
  </w:style>
  <w:style w:type="character" w:styleId="FollowedHyperlink">
    <w:name w:val="FollowedHyperlink"/>
    <w:basedOn w:val="DefaultParagraphFont"/>
    <w:uiPriority w:val="99"/>
    <w:semiHidden/>
    <w:unhideWhenUsed/>
    <w:rsid w:val="006F0305"/>
    <w:rPr>
      <w:color w:val="954F72" w:themeColor="followedHyperlink"/>
      <w:u w:val="single"/>
    </w:rPr>
  </w:style>
  <w:style w:type="paragraph" w:styleId="NormalWeb">
    <w:name w:val="Normal (Web)"/>
    <w:basedOn w:val="Normal"/>
    <w:uiPriority w:val="99"/>
    <w:semiHidden/>
    <w:unhideWhenUsed/>
    <w:rsid w:val="005133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63583">
      <w:bodyDiv w:val="1"/>
      <w:marLeft w:val="0"/>
      <w:marRight w:val="0"/>
      <w:marTop w:val="0"/>
      <w:marBottom w:val="0"/>
      <w:divBdr>
        <w:top w:val="none" w:sz="0" w:space="0" w:color="auto"/>
        <w:left w:val="none" w:sz="0" w:space="0" w:color="auto"/>
        <w:bottom w:val="none" w:sz="0" w:space="0" w:color="auto"/>
        <w:right w:val="none" w:sz="0" w:space="0" w:color="auto"/>
      </w:divBdr>
    </w:div>
    <w:div w:id="1023366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item/14-03-2023-who-publishes-recommendations-on-two-new-types-of-insecticide-treated-nets" TargetMode="External"/><Relationship Id="rId2" Type="http://schemas.openxmlformats.org/officeDocument/2006/relationships/hyperlink" Target="https://doi.org/10.3390/tropicalmed8080379" TargetMode="External"/><Relationship Id="rId1" Type="http://schemas.openxmlformats.org/officeDocument/2006/relationships/hyperlink" Target="https://view.officeapps.live.com/op/view.aspx?src=https%3A%2F%2Fwww.durabilitymonitoring.org%2Fwp-content%2Fuploads%2F2024%2F05%2FPMI-VectorLink-Sierra-Leone-36-Month-DM-Snapshot-with-Bioassays-and-Chemical-Results-clean.docx&amp;wdOrigin=BROWSELIN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psiorg.sharepoint.com/sites/Evolve/Shared%20Documents/2.%20Technical%20Resources/ITN%20Durability%20Monitoring/Zambia/Analysis/m36/logs/Zambia_m36_resul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824"/>
          <c:y val="2.8306999999999999E-2"/>
          <c:w val="0.54684500000000003"/>
          <c:h val="0.84929699999999997"/>
        </c:manualLayout>
      </c:layout>
      <c:scatterChart>
        <c:scatterStyle val="smoothMarker"/>
        <c:varyColors val="0"/>
        <c:ser>
          <c:idx val="0"/>
          <c:order val="0"/>
          <c:tx>
            <c:strRef>
              <c:f>[Zambia_m36_results.xlsx]svf!$B$105</c:f>
              <c:strCache>
                <c:ptCount val="1"/>
                <c:pt idx="0">
                  <c:v>1-year</c:v>
                </c:pt>
              </c:strCache>
            </c:strRef>
          </c:tx>
          <c:spPr>
            <a:prstGeom prst="rect">
              <a:avLst/>
            </a:prstGeom>
            <a:ln w="12700">
              <a:solidFill>
                <a:schemeClr val="tx2">
                  <a:lumMod val="20000"/>
                  <a:lumOff val="80000"/>
                </a:schemeClr>
              </a:solidFill>
            </a:ln>
          </c:spPr>
          <c:marker>
            <c:symbol val="none"/>
          </c:marker>
          <c:xVal>
            <c:numRef>
              <c:f>[Zambia_m36_results.xlsx]svf!$C$103:$K$103</c:f>
              <c:numCache>
                <c:formatCode>General</c:formatCode>
                <c:ptCount val="9"/>
                <c:pt idx="0">
                  <c:v>0</c:v>
                </c:pt>
                <c:pt idx="1">
                  <c:v>1</c:v>
                </c:pt>
                <c:pt idx="2">
                  <c:v>2</c:v>
                </c:pt>
                <c:pt idx="3">
                  <c:v>3</c:v>
                </c:pt>
                <c:pt idx="4">
                  <c:v>4</c:v>
                </c:pt>
                <c:pt idx="5">
                  <c:v>5</c:v>
                </c:pt>
                <c:pt idx="6">
                  <c:v>6</c:v>
                </c:pt>
                <c:pt idx="7">
                  <c:v>7</c:v>
                </c:pt>
                <c:pt idx="8">
                  <c:v>8</c:v>
                </c:pt>
              </c:numCache>
            </c:numRef>
          </c:xVal>
          <c:yVal>
            <c:numRef>
              <c:f>[Zambia_m36_results.xlsx]svf!$C$120:$F$120</c:f>
              <c:numCache>
                <c:formatCode>#,##0</c:formatCode>
                <c:ptCount val="4"/>
                <c:pt idx="0">
                  <c:v>100</c:v>
                </c:pt>
                <c:pt idx="1">
                  <c:v>50.02749069608722</c:v>
                </c:pt>
                <c:pt idx="2">
                  <c:v>4.0121308672969747</c:v>
                </c:pt>
                <c:pt idx="3">
                  <c:v>5.095302780837585E-3</c:v>
                </c:pt>
              </c:numCache>
            </c:numRef>
          </c:yVal>
          <c:smooth val="1"/>
          <c:extLst>
            <c:ext xmlns:c16="http://schemas.microsoft.com/office/drawing/2014/chart" uri="{C3380CC4-5D6E-409C-BE32-E72D297353CC}">
              <c16:uniqueId val="{00000000-45B3-4AC9-9ECF-37E1E6BD6368}"/>
            </c:ext>
          </c:extLst>
        </c:ser>
        <c:ser>
          <c:idx val="1"/>
          <c:order val="1"/>
          <c:tx>
            <c:strRef>
              <c:f>[Zambia_m36_results.xlsx]svf!$B$107</c:f>
              <c:strCache>
                <c:ptCount val="1"/>
                <c:pt idx="0">
                  <c:v>2-year</c:v>
                </c:pt>
              </c:strCache>
            </c:strRef>
          </c:tx>
          <c:spPr>
            <a:prstGeom prst="rect">
              <a:avLst/>
            </a:prstGeom>
            <a:ln w="12700">
              <a:solidFill>
                <a:schemeClr val="accent2">
                  <a:lumMod val="60000"/>
                  <a:lumOff val="40000"/>
                </a:schemeClr>
              </a:solidFill>
            </a:ln>
          </c:spPr>
          <c:marker>
            <c:symbol val="none"/>
          </c:marker>
          <c:xVal>
            <c:numRef>
              <c:f>[Zambia_m36_results.xlsx]svf!$C$103:$K$103</c:f>
              <c:numCache>
                <c:formatCode>General</c:formatCode>
                <c:ptCount val="9"/>
                <c:pt idx="0">
                  <c:v>0</c:v>
                </c:pt>
                <c:pt idx="1">
                  <c:v>1</c:v>
                </c:pt>
                <c:pt idx="2">
                  <c:v>2</c:v>
                </c:pt>
                <c:pt idx="3">
                  <c:v>3</c:v>
                </c:pt>
                <c:pt idx="4">
                  <c:v>4</c:v>
                </c:pt>
                <c:pt idx="5">
                  <c:v>5</c:v>
                </c:pt>
                <c:pt idx="6">
                  <c:v>6</c:v>
                </c:pt>
                <c:pt idx="7">
                  <c:v>7</c:v>
                </c:pt>
                <c:pt idx="8">
                  <c:v>8</c:v>
                </c:pt>
              </c:numCache>
            </c:numRef>
          </c:xVal>
          <c:yVal>
            <c:numRef>
              <c:f>[Zambia_m36_results.xlsx]svf!$C$122:$H$122</c:f>
              <c:numCache>
                <c:formatCode>#,##0</c:formatCode>
                <c:ptCount val="6"/>
                <c:pt idx="0">
                  <c:v>100</c:v>
                </c:pt>
                <c:pt idx="1">
                  <c:v>84.50578703487534</c:v>
                </c:pt>
                <c:pt idx="2">
                  <c:v>49.889987837963183</c:v>
                </c:pt>
                <c:pt idx="3">
                  <c:v>19.120449586444913</c:v>
                </c:pt>
                <c:pt idx="4">
                  <c:v>4.0827443062546074</c:v>
                </c:pt>
                <c:pt idx="5">
                  <c:v>0.35863129752394007</c:v>
                </c:pt>
              </c:numCache>
            </c:numRef>
          </c:yVal>
          <c:smooth val="1"/>
          <c:extLst>
            <c:ext xmlns:c16="http://schemas.microsoft.com/office/drawing/2014/chart" uri="{C3380CC4-5D6E-409C-BE32-E72D297353CC}">
              <c16:uniqueId val="{00000001-45B3-4AC9-9ECF-37E1E6BD6368}"/>
            </c:ext>
          </c:extLst>
        </c:ser>
        <c:ser>
          <c:idx val="2"/>
          <c:order val="2"/>
          <c:tx>
            <c:strRef>
              <c:f>[Zambia_m36_results.xlsx]svf!$B$109</c:f>
              <c:strCache>
                <c:ptCount val="1"/>
                <c:pt idx="0">
                  <c:v>3-year</c:v>
                </c:pt>
              </c:strCache>
            </c:strRef>
          </c:tx>
          <c:spPr>
            <a:prstGeom prst="rect">
              <a:avLst/>
            </a:prstGeom>
            <a:ln w="12700">
              <a:solidFill>
                <a:schemeClr val="accent3">
                  <a:lumMod val="60000"/>
                  <a:lumOff val="40000"/>
                </a:schemeClr>
              </a:solidFill>
              <a:round/>
            </a:ln>
          </c:spPr>
          <c:marker>
            <c:symbol val="none"/>
          </c:marker>
          <c:xVal>
            <c:numRef>
              <c:f>[Zambia_m36_results.xlsx]svf!$C$103:$K$103</c:f>
              <c:numCache>
                <c:formatCode>General</c:formatCode>
                <c:ptCount val="9"/>
                <c:pt idx="0">
                  <c:v>0</c:v>
                </c:pt>
                <c:pt idx="1">
                  <c:v>1</c:v>
                </c:pt>
                <c:pt idx="2">
                  <c:v>2</c:v>
                </c:pt>
                <c:pt idx="3">
                  <c:v>3</c:v>
                </c:pt>
                <c:pt idx="4">
                  <c:v>4</c:v>
                </c:pt>
                <c:pt idx="5">
                  <c:v>5</c:v>
                </c:pt>
                <c:pt idx="6">
                  <c:v>6</c:v>
                </c:pt>
                <c:pt idx="7">
                  <c:v>7</c:v>
                </c:pt>
                <c:pt idx="8">
                  <c:v>8</c:v>
                </c:pt>
              </c:numCache>
            </c:numRef>
          </c:xVal>
          <c:yVal>
            <c:numRef>
              <c:f>[Zambia_m36_results.xlsx]svf!$C$124:$N$124</c:f>
              <c:numCache>
                <c:formatCode>#,##0</c:formatCode>
                <c:ptCount val="12"/>
                <c:pt idx="0">
                  <c:v>100</c:v>
                </c:pt>
                <c:pt idx="1">
                  <c:v>92.784872728588979</c:v>
                </c:pt>
                <c:pt idx="2">
                  <c:v>73.818716392513906</c:v>
                </c:pt>
                <c:pt idx="3">
                  <c:v>49.728188654441475</c:v>
                </c:pt>
                <c:pt idx="4">
                  <c:v>27.721598399167124</c:v>
                </c:pt>
                <c:pt idx="5">
                  <c:v>12.325585878814326</c:v>
                </c:pt>
                <c:pt idx="6">
                  <c:v>4.1281781880890271</c:v>
                </c:pt>
                <c:pt idx="7">
                  <c:v>0.95294209869698543</c:v>
                </c:pt>
                <c:pt idx="8">
                  <c:v>0.13152324709170315</c:v>
                </c:pt>
                <c:pt idx="9">
                  <c:v>8.5524322598788949E-3</c:v>
                </c:pt>
                <c:pt idx="10">
                  <c:v>1.7079572648448504E-4</c:v>
                </c:pt>
                <c:pt idx="11">
                  <c:v>4.4851109537447087E-7</c:v>
                </c:pt>
              </c:numCache>
            </c:numRef>
          </c:yVal>
          <c:smooth val="1"/>
          <c:extLst>
            <c:ext xmlns:c16="http://schemas.microsoft.com/office/drawing/2014/chart" uri="{C3380CC4-5D6E-409C-BE32-E72D297353CC}">
              <c16:uniqueId val="{00000002-45B3-4AC9-9ECF-37E1E6BD6368}"/>
            </c:ext>
          </c:extLst>
        </c:ser>
        <c:ser>
          <c:idx val="3"/>
          <c:order val="3"/>
          <c:tx>
            <c:strRef>
              <c:f>[Zambia_m36_results.xlsx]svf!$B$111</c:f>
              <c:strCache>
                <c:ptCount val="1"/>
                <c:pt idx="0">
                  <c:v>4-year</c:v>
                </c:pt>
              </c:strCache>
            </c:strRef>
          </c:tx>
          <c:spPr>
            <a:prstGeom prst="rect">
              <a:avLst/>
            </a:prstGeom>
            <a:ln w="12700">
              <a:solidFill>
                <a:schemeClr val="accent4">
                  <a:lumMod val="40000"/>
                  <a:lumOff val="60000"/>
                </a:schemeClr>
              </a:solidFill>
              <a:miter/>
            </a:ln>
          </c:spPr>
          <c:marker>
            <c:symbol val="none"/>
          </c:marker>
          <c:xVal>
            <c:numRef>
              <c:f>[Zambia_m36_results.xlsx]svf!$C$103:$K$103</c:f>
              <c:numCache>
                <c:formatCode>General</c:formatCode>
                <c:ptCount val="9"/>
                <c:pt idx="0">
                  <c:v>0</c:v>
                </c:pt>
                <c:pt idx="1">
                  <c:v>1</c:v>
                </c:pt>
                <c:pt idx="2">
                  <c:v>2</c:v>
                </c:pt>
                <c:pt idx="3">
                  <c:v>3</c:v>
                </c:pt>
                <c:pt idx="4">
                  <c:v>4</c:v>
                </c:pt>
                <c:pt idx="5">
                  <c:v>5</c:v>
                </c:pt>
                <c:pt idx="6">
                  <c:v>6</c:v>
                </c:pt>
                <c:pt idx="7">
                  <c:v>7</c:v>
                </c:pt>
                <c:pt idx="8">
                  <c:v>8</c:v>
                </c:pt>
              </c:numCache>
            </c:numRef>
          </c:xVal>
          <c:yVal>
            <c:numRef>
              <c:f>[Zambia_m36_results.xlsx]svf!$C$126:$O$126</c:f>
              <c:numCache>
                <c:formatCode>#,##0</c:formatCode>
                <c:ptCount val="13"/>
                <c:pt idx="0">
                  <c:v>100</c:v>
                </c:pt>
                <c:pt idx="1">
                  <c:v>95.876790789273798</c:v>
                </c:pt>
                <c:pt idx="2">
                  <c:v>84.398943429735652</c:v>
                </c:pt>
                <c:pt idx="3">
                  <c:v>67.964598784516568</c:v>
                </c:pt>
                <c:pt idx="4">
                  <c:v>49.748058701909414</c:v>
                </c:pt>
                <c:pt idx="5">
                  <c:v>32.782699121313108</c:v>
                </c:pt>
                <c:pt idx="6">
                  <c:v>19.185843864000198</c:v>
                </c:pt>
                <c:pt idx="7">
                  <c:v>9.7864450596160015</c:v>
                </c:pt>
                <c:pt idx="8">
                  <c:v>4.2401118507896527</c:v>
                </c:pt>
                <c:pt idx="9">
                  <c:v>1.505862750628618</c:v>
                </c:pt>
                <c:pt idx="10">
                  <c:v>0.41709190904817373</c:v>
                </c:pt>
                <c:pt idx="11">
                  <c:v>8.3911971341355862E-2</c:v>
                </c:pt>
                <c:pt idx="12">
                  <c:v>1.104397085527431E-2</c:v>
                </c:pt>
              </c:numCache>
            </c:numRef>
          </c:yVal>
          <c:smooth val="1"/>
          <c:extLst>
            <c:ext xmlns:c16="http://schemas.microsoft.com/office/drawing/2014/chart" uri="{C3380CC4-5D6E-409C-BE32-E72D297353CC}">
              <c16:uniqueId val="{00000003-45B3-4AC9-9ECF-37E1E6BD6368}"/>
            </c:ext>
          </c:extLst>
        </c:ser>
        <c:dLbls>
          <c:showLegendKey val="0"/>
          <c:showVal val="0"/>
          <c:showCatName val="0"/>
          <c:showSerName val="0"/>
          <c:showPercent val="0"/>
          <c:showBubbleSize val="0"/>
        </c:dLbls>
        <c:axId val="650315176"/>
        <c:axId val="650325368"/>
      </c:scatterChart>
      <c:scatterChart>
        <c:scatterStyle val="smoothMarker"/>
        <c:varyColors val="0"/>
        <c:ser>
          <c:idx val="14"/>
          <c:order val="4"/>
          <c:tx>
            <c:strRef>
              <c:f>[Zambia_m36_results.xlsx]svf!$L$3</c:f>
              <c:strCache>
                <c:ptCount val="1"/>
                <c:pt idx="0">
                  <c:v>Nyimba (Olyset® Plus)</c:v>
                </c:pt>
              </c:strCache>
            </c:strRef>
          </c:tx>
          <c:spPr>
            <a:prstGeom prst="rect">
              <a:avLst/>
            </a:prstGeom>
            <a:ln w="12700">
              <a:solidFill>
                <a:srgbClr val="A5A5A5">
                  <a:lumMod val="50000"/>
                </a:srgbClr>
              </a:solidFill>
            </a:ln>
          </c:spPr>
          <c:marker>
            <c:symbol val="triangle"/>
            <c:size val="6"/>
            <c:spPr>
              <a:prstGeom prst="rect">
                <a:avLst/>
              </a:prstGeom>
              <a:solidFill>
                <a:schemeClr val="accent3">
                  <a:lumMod val="50000"/>
                </a:schemeClr>
              </a:solidFill>
              <a:ln>
                <a:solidFill>
                  <a:schemeClr val="accent3">
                    <a:lumMod val="50000"/>
                  </a:schemeClr>
                </a:solidFill>
              </a:ln>
            </c:spPr>
          </c:marker>
          <c:dPt>
            <c:idx val="1"/>
            <c:bubble3D val="0"/>
            <c:spPr>
              <a:prstGeom prst="rect">
                <a:avLst/>
              </a:prstGeom>
              <a:ln w="12700">
                <a:solidFill>
                  <a:srgbClr val="4F6228"/>
                </a:solidFill>
              </a:ln>
            </c:spPr>
            <c:extLst>
              <c:ext xmlns:c16="http://schemas.microsoft.com/office/drawing/2014/chart" uri="{C3380CC4-5D6E-409C-BE32-E72D297353CC}">
                <c16:uniqueId val="{00000005-45B3-4AC9-9ECF-37E1E6BD6368}"/>
              </c:ext>
            </c:extLst>
          </c:dPt>
          <c:dPt>
            <c:idx val="2"/>
            <c:bubble3D val="0"/>
            <c:spPr>
              <a:prstGeom prst="rect">
                <a:avLst/>
              </a:prstGeom>
              <a:ln w="12700">
                <a:solidFill>
                  <a:srgbClr val="4F6228"/>
                </a:solidFill>
              </a:ln>
            </c:spPr>
            <c:extLst>
              <c:ext xmlns:c16="http://schemas.microsoft.com/office/drawing/2014/chart" uri="{C3380CC4-5D6E-409C-BE32-E72D297353CC}">
                <c16:uniqueId val="{00000007-45B3-4AC9-9ECF-37E1E6BD6368}"/>
              </c:ext>
            </c:extLst>
          </c:dPt>
          <c:errBars>
            <c:errDir val="y"/>
            <c:errBarType val="both"/>
            <c:errValType val="cust"/>
            <c:noEndCap val="0"/>
            <c:plus>
              <c:numRef>
                <c:f>[Zambia_m36_results.xlsx]svf!$O$32:$O$36</c:f>
                <c:numCache>
                  <c:formatCode>General</c:formatCode>
                  <c:ptCount val="5"/>
                  <c:pt idx="0">
                    <c:v>0</c:v>
                  </c:pt>
                  <c:pt idx="1">
                    <c:v>4.0999999999999943</c:v>
                  </c:pt>
                  <c:pt idx="2">
                    <c:v>7</c:v>
                  </c:pt>
                  <c:pt idx="3">
                    <c:v>13.199999999999996</c:v>
                  </c:pt>
                  <c:pt idx="4">
                    <c:v>11.399999999999999</c:v>
                  </c:pt>
                </c:numCache>
              </c:numRef>
            </c:plus>
            <c:minus>
              <c:numRef>
                <c:f>[Zambia_m36_results.xlsx]svf!$N$32:$N$36</c:f>
                <c:numCache>
                  <c:formatCode>General</c:formatCode>
                  <c:ptCount val="5"/>
                  <c:pt idx="0">
                    <c:v>0</c:v>
                  </c:pt>
                  <c:pt idx="1">
                    <c:v>6</c:v>
                  </c:pt>
                  <c:pt idx="2">
                    <c:v>8.1999999999999957</c:v>
                  </c:pt>
                  <c:pt idx="3">
                    <c:v>12.799999999999997</c:v>
                  </c:pt>
                  <c:pt idx="4">
                    <c:v>9.0000000000000036</c:v>
                  </c:pt>
                </c:numCache>
              </c:numRef>
            </c:minus>
            <c:spPr>
              <a:prstGeom prst="rect">
                <a:avLst/>
              </a:prstGeom>
              <a:ln w="12700">
                <a:solidFill>
                  <a:srgbClr val="A5A5A5">
                    <a:lumMod val="50000"/>
                  </a:srgbClr>
                </a:solidFill>
              </a:ln>
            </c:spPr>
          </c:errBars>
          <c:xVal>
            <c:numRef>
              <c:f>[Zambia_m36_results.xlsx]svf!$N$3:$N$7</c:f>
              <c:numCache>
                <c:formatCode>General</c:formatCode>
                <c:ptCount val="5"/>
                <c:pt idx="0">
                  <c:v>0</c:v>
                </c:pt>
                <c:pt idx="1">
                  <c:v>0.67499999999999993</c:v>
                </c:pt>
                <c:pt idx="2">
                  <c:v>1.1416666666666666</c:v>
                </c:pt>
                <c:pt idx="3">
                  <c:v>2.1</c:v>
                </c:pt>
                <c:pt idx="4">
                  <c:v>3.0666666666666664</c:v>
                </c:pt>
              </c:numCache>
            </c:numRef>
          </c:xVal>
          <c:yVal>
            <c:numRef>
              <c:f>[Zambia_m36_results.xlsx]svf!$O$3:$O$7</c:f>
              <c:numCache>
                <c:formatCode>General</c:formatCode>
                <c:ptCount val="5"/>
                <c:pt idx="0">
                  <c:v>100</c:v>
                </c:pt>
                <c:pt idx="1">
                  <c:v>88.4</c:v>
                </c:pt>
                <c:pt idx="2">
                  <c:v>72</c:v>
                </c:pt>
                <c:pt idx="3">
                  <c:v>46.9</c:v>
                </c:pt>
                <c:pt idx="4">
                  <c:v>26.200000000000003</c:v>
                </c:pt>
              </c:numCache>
            </c:numRef>
          </c:yVal>
          <c:smooth val="0"/>
          <c:extLst>
            <c:ext xmlns:c16="http://schemas.microsoft.com/office/drawing/2014/chart" uri="{C3380CC4-5D6E-409C-BE32-E72D297353CC}">
              <c16:uniqueId val="{00000008-45B3-4AC9-9ECF-37E1E6BD6368}"/>
            </c:ext>
          </c:extLst>
        </c:ser>
        <c:ser>
          <c:idx val="7"/>
          <c:order val="5"/>
          <c:tx>
            <c:strRef>
              <c:f>[Zambia_m36_results.xlsx]svf!$L$8</c:f>
              <c:strCache>
                <c:ptCount val="1"/>
                <c:pt idx="0">
                  <c:v>Serenje (Veeralin®)</c:v>
                </c:pt>
              </c:strCache>
            </c:strRef>
          </c:tx>
          <c:spPr>
            <a:ln w="12700"/>
          </c:spPr>
          <c:marker>
            <c:symbol val="diamond"/>
            <c:size val="6"/>
          </c:marker>
          <c:errBars>
            <c:errDir val="y"/>
            <c:errBarType val="both"/>
            <c:errValType val="cust"/>
            <c:noEndCap val="0"/>
            <c:plus>
              <c:numRef>
                <c:f>[Zambia_m36_results.xlsx]svf!$O$37:$O$41</c:f>
                <c:numCache>
                  <c:formatCode>General</c:formatCode>
                  <c:ptCount val="5"/>
                  <c:pt idx="0">
                    <c:v>0</c:v>
                  </c:pt>
                  <c:pt idx="1">
                    <c:v>1.7999999999999972</c:v>
                  </c:pt>
                  <c:pt idx="2">
                    <c:v>0</c:v>
                  </c:pt>
                  <c:pt idx="3">
                    <c:v>10</c:v>
                  </c:pt>
                  <c:pt idx="4">
                    <c:v>12.700000000000003</c:v>
                  </c:pt>
                </c:numCache>
              </c:numRef>
            </c:plus>
            <c:minus>
              <c:numRef>
                <c:f>[Zambia_m36_results.xlsx]svf!$N$37:$N$41</c:f>
                <c:numCache>
                  <c:formatCode>General</c:formatCode>
                  <c:ptCount val="5"/>
                  <c:pt idx="0">
                    <c:v>0</c:v>
                  </c:pt>
                  <c:pt idx="1">
                    <c:v>2.7000000000000028</c:v>
                  </c:pt>
                  <c:pt idx="2">
                    <c:v>0</c:v>
                  </c:pt>
                  <c:pt idx="3">
                    <c:v>12.600000000000009</c:v>
                  </c:pt>
                  <c:pt idx="4">
                    <c:v>12.299999999999997</c:v>
                  </c:pt>
                </c:numCache>
              </c:numRef>
            </c:minus>
            <c:spPr>
              <a:prstGeom prst="rect">
                <a:avLst/>
              </a:prstGeom>
              <a:ln w="12700">
                <a:solidFill>
                  <a:srgbClr val="C0504D"/>
                </a:solidFill>
              </a:ln>
            </c:spPr>
          </c:errBars>
          <c:xVal>
            <c:numRef>
              <c:f>[Zambia_m36_results.xlsx]svf!$N$8:$N$12</c:f>
              <c:numCache>
                <c:formatCode>General</c:formatCode>
                <c:ptCount val="5"/>
                <c:pt idx="0">
                  <c:v>0</c:v>
                </c:pt>
                <c:pt idx="1">
                  <c:v>0.78333333333333333</c:v>
                </c:pt>
                <c:pt idx="3">
                  <c:v>1.925</c:v>
                </c:pt>
                <c:pt idx="4">
                  <c:v>2.9166666666666665</c:v>
                </c:pt>
              </c:numCache>
            </c:numRef>
          </c:xVal>
          <c:yVal>
            <c:numRef>
              <c:f>[Zambia_m36_results.xlsx]svf!$O$8:$O$12</c:f>
              <c:numCache>
                <c:formatCode>General</c:formatCode>
                <c:ptCount val="5"/>
                <c:pt idx="0">
                  <c:v>100</c:v>
                </c:pt>
                <c:pt idx="1">
                  <c:v>95.2</c:v>
                </c:pt>
                <c:pt idx="3">
                  <c:v>71.2</c:v>
                </c:pt>
                <c:pt idx="4">
                  <c:v>47.199999999999996</c:v>
                </c:pt>
              </c:numCache>
            </c:numRef>
          </c:yVal>
          <c:smooth val="0"/>
          <c:extLst>
            <c:ext xmlns:c16="http://schemas.microsoft.com/office/drawing/2014/chart" uri="{C3380CC4-5D6E-409C-BE32-E72D297353CC}">
              <c16:uniqueId val="{00000009-45B3-4AC9-9ECF-37E1E6BD6368}"/>
            </c:ext>
          </c:extLst>
        </c:ser>
        <c:dLbls>
          <c:showLegendKey val="0"/>
          <c:showVal val="0"/>
          <c:showCatName val="0"/>
          <c:showSerName val="0"/>
          <c:showPercent val="0"/>
          <c:showBubbleSize val="0"/>
        </c:dLbls>
        <c:axId val="508262960"/>
        <c:axId val="508260608"/>
        <c:extLst>
          <c:ext xmlns:c15="http://schemas.microsoft.com/office/drawing/2012/chart" uri="{02D57815-91ED-43cb-92C2-25804820EDAC}">
            <c15:filteredScatterSeries>
              <c15:ser>
                <c:idx val="4"/>
                <c:order val="6"/>
                <c:tx>
                  <c:strRef>
                    <c:extLst>
                      <c:ext uri="{02D57815-91ED-43cb-92C2-25804820EDAC}">
                        <c15:formulaRef>
                          <c15:sqref>[Zambia_m36_results.xlsx]svf!$L$13</c15:sqref>
                        </c15:formulaRef>
                      </c:ext>
                    </c:extLst>
                    <c:strCache>
                      <c:ptCount val="1"/>
                      <c:pt idx="0">
                        <c:v> ()</c:v>
                      </c:pt>
                    </c:strCache>
                  </c:strRef>
                </c:tx>
                <c:spPr>
                  <a:prstGeom prst="rect">
                    <a:avLst/>
                  </a:prstGeom>
                  <a:ln w="12700">
                    <a:solidFill>
                      <a:srgbClr val="5B9BD5"/>
                    </a:solidFill>
                  </a:ln>
                </c:spPr>
                <c:marker>
                  <c:symbol val="x"/>
                  <c:size val="5"/>
                </c:marker>
                <c:errBars>
                  <c:errDir val="y"/>
                  <c:errBarType val="both"/>
                  <c:errValType val="cust"/>
                  <c:noEndCap val="0"/>
                  <c:spPr>
                    <a:prstGeom prst="rect">
                      <a:avLst/>
                    </a:prstGeom>
                    <a:ln w="12700">
                      <a:solidFill>
                        <a:srgbClr val="5B9BD5"/>
                      </a:solidFill>
                    </a:ln>
                  </c:spPr>
                </c:errBars>
                <c:xVal>
                  <c:numRef>
                    <c:extLst>
                      <c:ext uri="{02D57815-91ED-43cb-92C2-25804820EDAC}">
                        <c15:formulaRef>
                          <c15:sqref>[Zambia_m36_results.xlsx]svf!$N$13:$N$17</c15:sqref>
                        </c15:formulaRef>
                      </c:ext>
                    </c:extLst>
                    <c:numCache>
                      <c:formatCode>General</c:formatCode>
                      <c:ptCount val="5"/>
                      <c:pt idx="0">
                        <c:v>0</c:v>
                      </c:pt>
                      <c:pt idx="1">
                        <c:v>#N/A</c:v>
                      </c:pt>
                      <c:pt idx="2">
                        <c:v>#N/A</c:v>
                      </c:pt>
                      <c:pt idx="3">
                        <c:v>#N/A</c:v>
                      </c:pt>
                      <c:pt idx="4">
                        <c:v>#N/A</c:v>
                      </c:pt>
                    </c:numCache>
                  </c:numRef>
                </c:xVal>
                <c:yVal>
                  <c:numRef>
                    <c:extLst>
                      <c:ext uri="{02D57815-91ED-43cb-92C2-25804820EDAC}">
                        <c15:formulaRef>
                          <c15:sqref>[Zambia_m36_results.xlsx]svf!$O$13:$O$17</c15:sqref>
                        </c15:formulaRef>
                      </c:ext>
                    </c:extLst>
                    <c:numCache>
                      <c:formatCode>General</c:formatCode>
                      <c:ptCount val="5"/>
                      <c:pt idx="0">
                        <c:v>100</c:v>
                      </c:pt>
                      <c:pt idx="1">
                        <c:v>92.4</c:v>
                      </c:pt>
                      <c:pt idx="2">
                        <c:v>76.599999999999994</c:v>
                      </c:pt>
                      <c:pt idx="3">
                        <c:v>61.1</c:v>
                      </c:pt>
                      <c:pt idx="4">
                        <c:v>38.4</c:v>
                      </c:pt>
                    </c:numCache>
                  </c:numRef>
                </c:yVal>
                <c:smooth val="1"/>
                <c:extLst>
                  <c:ext xmlns:c16="http://schemas.microsoft.com/office/drawing/2014/chart" uri="{C3380CC4-5D6E-409C-BE32-E72D297353CC}">
                    <c16:uniqueId val="{0000000A-45B3-4AC9-9ECF-37E1E6BD6368}"/>
                  </c:ext>
                </c:extLst>
              </c15:ser>
            </c15:filteredScatterSeries>
          </c:ext>
        </c:extLst>
      </c:scatterChart>
      <c:valAx>
        <c:axId val="650315176"/>
        <c:scaling>
          <c:orientation val="minMax"/>
          <c:max val="4"/>
        </c:scaling>
        <c:delete val="0"/>
        <c:axPos val="b"/>
        <c:majorGridlines>
          <c:spPr>
            <a:prstGeom prst="rect">
              <a:avLst/>
            </a:prstGeom>
            <a:ln>
              <a:solidFill>
                <a:schemeClr val="bg1">
                  <a:lumMod val="85000"/>
                </a:schemeClr>
              </a:solidFill>
              <a:prstDash val="dash"/>
            </a:ln>
          </c:spPr>
        </c:majorGridlines>
        <c:title>
          <c:tx>
            <c:rich>
              <a:bodyPr/>
              <a:lstStyle/>
              <a:p>
                <a:pPr>
                  <a:defRPr sz="1200" b="0"/>
                </a:pPr>
                <a:r>
                  <a:rPr lang="en-US" sz="1200" b="0"/>
                  <a:t>Years since distribution</a:t>
                </a:r>
                <a:endParaRPr lang="en-US"/>
              </a:p>
            </c:rich>
          </c:tx>
          <c:overlay val="0"/>
        </c:title>
        <c:numFmt formatCode="General" sourceLinked="1"/>
        <c:majorTickMark val="out"/>
        <c:minorTickMark val="none"/>
        <c:tickLblPos val="nextTo"/>
        <c:txPr>
          <a:bodyPr/>
          <a:lstStyle/>
          <a:p>
            <a:pPr>
              <a:defRPr sz="1200"/>
            </a:pPr>
            <a:endParaRPr lang="en-US"/>
          </a:p>
        </c:txPr>
        <c:crossAx val="650325368"/>
        <c:crosses val="autoZero"/>
        <c:crossBetween val="midCat"/>
        <c:majorUnit val="1"/>
      </c:valAx>
      <c:valAx>
        <c:axId val="650325368"/>
        <c:scaling>
          <c:orientation val="minMax"/>
          <c:max val="100"/>
          <c:min val="0"/>
        </c:scaling>
        <c:delete val="0"/>
        <c:axPos val="l"/>
        <c:title>
          <c:tx>
            <c:rich>
              <a:bodyPr rot="-5400000" vert="horz"/>
              <a:lstStyle/>
              <a:p>
                <a:pPr>
                  <a:defRPr sz="1200" b="0"/>
                </a:pPr>
                <a:r>
                  <a:rPr lang="en-US" sz="1200" b="0"/>
                  <a:t>% of nets surviving</a:t>
                </a:r>
                <a:endParaRPr lang="en-US"/>
              </a:p>
            </c:rich>
          </c:tx>
          <c:overlay val="0"/>
        </c:title>
        <c:numFmt formatCode="#,##0" sourceLinked="0"/>
        <c:majorTickMark val="out"/>
        <c:minorTickMark val="none"/>
        <c:tickLblPos val="nextTo"/>
        <c:txPr>
          <a:bodyPr/>
          <a:lstStyle/>
          <a:p>
            <a:pPr>
              <a:defRPr sz="1200"/>
            </a:pPr>
            <a:endParaRPr lang="en-US"/>
          </a:p>
        </c:txPr>
        <c:crossAx val="650315176"/>
        <c:crosses val="autoZero"/>
        <c:crossBetween val="midCat"/>
        <c:majorUnit val="10"/>
      </c:valAx>
      <c:valAx>
        <c:axId val="508260608"/>
        <c:scaling>
          <c:orientation val="minMax"/>
          <c:max val="100"/>
          <c:min val="0"/>
        </c:scaling>
        <c:delete val="1"/>
        <c:axPos val="r"/>
        <c:numFmt formatCode="General" sourceLinked="1"/>
        <c:majorTickMark val="out"/>
        <c:minorTickMark val="none"/>
        <c:tickLblPos val="nextTo"/>
        <c:crossAx val="508262960"/>
        <c:crosses val="max"/>
        <c:crossBetween val="midCat"/>
        <c:majorUnit val="10"/>
      </c:valAx>
      <c:valAx>
        <c:axId val="508262960"/>
        <c:scaling>
          <c:orientation val="minMax"/>
        </c:scaling>
        <c:delete val="1"/>
        <c:axPos val="b"/>
        <c:numFmt formatCode="General" sourceLinked="1"/>
        <c:majorTickMark val="out"/>
        <c:minorTickMark val="none"/>
        <c:tickLblPos val="nextTo"/>
        <c:crossAx val="508260608"/>
        <c:crosses val="autoZero"/>
        <c:crossBetween val="midCat"/>
      </c:valAx>
      <c:spPr>
        <a:prstGeom prst="rect">
          <a:avLst/>
        </a:prstGeom>
        <a:ln>
          <a:solidFill>
            <a:schemeClr val="tx1"/>
          </a:solidFill>
        </a:ln>
      </c:spPr>
    </c:plotArea>
    <c:legend>
      <c:legendPos val="r"/>
      <c:layout>
        <c:manualLayout>
          <c:xMode val="edge"/>
          <c:yMode val="edge"/>
          <c:x val="0.65917400000000004"/>
          <c:y val="0.27370800000000001"/>
          <c:w val="0.30138999999999999"/>
          <c:h val="0.403804"/>
        </c:manualLayout>
      </c:layout>
      <c:overlay val="0"/>
      <c:txPr>
        <a:bodyPr/>
        <a:lstStyle/>
        <a:p>
          <a:pPr>
            <a:defRPr sz="1000"/>
          </a:pPr>
          <a:endParaRPr lang="en-US"/>
        </a:p>
      </c:txPr>
    </c:legend>
    <c:plotVisOnly val="1"/>
    <c:dispBlanksAs val="gap"/>
    <c:showDLblsOverMax val="0"/>
  </c:chart>
  <c:spPr>
    <a:xfrm>
      <a:off x="0" y="0"/>
      <a:ext cx="0" cy="0"/>
    </a:xfrm>
    <a:prstGeom prst="rect">
      <a:avLst/>
    </a:prstGeom>
    <a:solidFill>
      <a:sysClr val="window" lastClr="FFFFFF"/>
    </a:solidFill>
    <a:ln>
      <a:noFill/>
    </a:ln>
  </c:spPr>
  <c:txPr>
    <a:bodyPr/>
    <a:lstStyle/>
    <a:p>
      <a:pPr>
        <a:defRPr sz="1600"/>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0.09159</cdr:x>
      <cdr:y>0.45306</cdr:y>
    </cdr:from>
    <cdr:to>
      <cdr:x>0.64148</cdr:x>
      <cdr:y>0.45369</cdr:y>
    </cdr:to>
    <cdr:cxnSp macro="">
      <cdr:nvCxnSpPr>
        <cdr:cNvPr id="3" name="Straight Connector 2">
          <a:extLst xmlns:a="http://schemas.openxmlformats.org/drawingml/2006/main">
            <a:ext uri="{FF2B5EF4-FFF2-40B4-BE49-F238E27FC236}">
              <a16:creationId xmlns:a16="http://schemas.microsoft.com/office/drawing/2014/main" id="{549114F1-4B28-9FA7-402A-0DE054BDF7C4}"/>
            </a:ext>
          </a:extLst>
        </cdr:cNvPr>
        <cdr:cNvCxnSpPr>
          <a:cxnSpLocks xmlns:a="http://schemas.openxmlformats.org/drawingml/2006/main"/>
        </cdr:cNvCxnSpPr>
      </cdr:nvCxnSpPr>
      <cdr:spPr bwMode="auto">
        <a:xfrm xmlns:a="http://schemas.openxmlformats.org/drawingml/2006/main">
          <a:off x="793879" y="2853556"/>
          <a:ext cx="4766340" cy="3944"/>
        </a:xfrm>
        <a:prstGeom xmlns:a="http://schemas.openxmlformats.org/drawingml/2006/main" prst="line">
          <a:avLst/>
        </a:prstGeom>
        <a:ln xmlns:a="http://schemas.openxmlformats.org/drawingml/2006/main">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0.1662</cdr:x>
      <cdr:y>0.48394</cdr:y>
    </cdr:from>
    <cdr:to>
      <cdr:x>0.33229</cdr:x>
      <cdr:y>0.56892</cdr:y>
    </cdr:to>
    <cdr:sp macro="" textlink="">
      <cdr:nvSpPr>
        <cdr:cNvPr id="4" name="TextBox 1"/>
        <cdr:cNvSpPr txBox="1"/>
      </cdr:nvSpPr>
      <cdr:spPr bwMode="auto">
        <a:xfrm xmlns:a="http://schemas.openxmlformats.org/drawingml/2006/main">
          <a:off x="911840" y="1926583"/>
          <a:ext cx="911236" cy="338311"/>
        </a:xfrm>
        <a:prstGeom xmlns:a="http://schemas.openxmlformats.org/drawingml/2006/main" prst="wedgeRoundRectCallout">
          <a:avLst>
            <a:gd name="adj1" fmla="val 72974"/>
            <a:gd name="adj2" fmla="val -60699"/>
            <a:gd name="adj3" fmla="val 16667"/>
          </a:avLst>
        </a:prstGeom>
        <a:ln xmlns:a="http://schemas.openxmlformats.org/drawingml/2006/main" w="12700">
          <a:solidFill>
            <a:schemeClr val="accent3">
              <a:lumMod val="50000"/>
            </a:schemeClr>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t>Nyimba median survival:  2.0 years</a:t>
          </a:r>
          <a:endParaRPr/>
        </a:p>
      </cdr:txBody>
    </cdr:sp>
  </cdr:relSizeAnchor>
  <cdr:relSizeAnchor xmlns:cdr="http://schemas.openxmlformats.org/drawingml/2006/chartDrawing">
    <cdr:from>
      <cdr:x>0.42288</cdr:x>
      <cdr:y>0.20875</cdr:y>
    </cdr:from>
    <cdr:to>
      <cdr:x>0.58839</cdr:x>
      <cdr:y>0.29409</cdr:y>
    </cdr:to>
    <cdr:sp macro="" textlink="">
      <cdr:nvSpPr>
        <cdr:cNvPr id="5" name="TextBox 1"/>
        <cdr:cNvSpPr txBox="1"/>
      </cdr:nvSpPr>
      <cdr:spPr bwMode="auto">
        <a:xfrm xmlns:a="http://schemas.openxmlformats.org/drawingml/2006/main">
          <a:off x="2320083" y="831044"/>
          <a:ext cx="908054" cy="339744"/>
        </a:xfrm>
        <a:prstGeom xmlns:a="http://schemas.openxmlformats.org/drawingml/2006/main" prst="wedgeRoundRectCallout">
          <a:avLst>
            <a:gd name="adj1" fmla="val -12007"/>
            <a:gd name="adj2" fmla="val 226074"/>
            <a:gd name="adj3" fmla="val 16667"/>
          </a:avLst>
        </a:prstGeom>
        <a:ln xmlns:a="http://schemas.openxmlformats.org/drawingml/2006/main" w="12700">
          <a:solidFill>
            <a:srgbClr val="C0504D"/>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t>Serenje median survival:  2.8 years</a:t>
          </a:r>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2d8ac4-480f-42af-94c3-1b0dbed1eec5">
      <Terms xmlns="http://schemas.microsoft.com/office/infopath/2007/PartnerControls"/>
    </lcf76f155ced4ddcb4097134ff3c332f>
    <TaxCatchAll xmlns="1011fb24-49a0-463f-ada9-a8217d0aa252" xsi:nil="true"/>
    <SharedWithUsers xmlns="1011fb24-49a0-463f-ada9-a8217d0aa252">
      <UserInfo>
        <DisplayName>Keith Esch</DisplayName>
        <AccountId>14</AccountId>
        <AccountType/>
      </UserInfo>
      <UserInfo>
        <DisplayName>Elisabeth Tyler</DisplayName>
        <AccountId>15</AccountId>
        <AccountType/>
      </UserInfo>
      <UserInfo>
        <DisplayName>Raymond Sudoi</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A194C411A66A43AF5A340052B5B424" ma:contentTypeVersion="14" ma:contentTypeDescription="Create a new document." ma:contentTypeScope="" ma:versionID="be6454ba4e745c1fafc39a7db4cd01d0">
  <xsd:schema xmlns:xsd="http://www.w3.org/2001/XMLSchema" xmlns:xs="http://www.w3.org/2001/XMLSchema" xmlns:p="http://schemas.microsoft.com/office/2006/metadata/properties" xmlns:ns2="a72d8ac4-480f-42af-94c3-1b0dbed1eec5" xmlns:ns3="1011fb24-49a0-463f-ada9-a8217d0aa252" targetNamespace="http://schemas.microsoft.com/office/2006/metadata/properties" ma:root="true" ma:fieldsID="a1b80db0e024994b252e5c2c51f3169e" ns2:_="" ns3:_="">
    <xsd:import namespace="a72d8ac4-480f-42af-94c3-1b0dbed1eec5"/>
    <xsd:import namespace="1011fb24-49a0-463f-ada9-a8217d0aa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d8ac4-480f-42af-94c3-1b0dbed1e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1fb24-49a0-463f-ada9-a8217d0aa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56d3d7-c4bd-480e-a7f5-ac66688d63d6}" ma:internalName="TaxCatchAll" ma:showField="CatchAllData" ma:web="1011fb24-49a0-463f-ada9-a8217d0aa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9k7gBt/D17PEJP0aHogi6BCA5w==">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</go:docsCustomData>
</go:gDocsCustomXmlDataStorage>
</file>

<file path=customXml/itemProps1.xml><?xml version="1.0" encoding="utf-8"?>
<ds:datastoreItem xmlns:ds="http://schemas.openxmlformats.org/officeDocument/2006/customXml" ds:itemID="{F5042A0A-A821-42B7-A578-1C1653C06238}">
  <ds:schemaRefs>
    <ds:schemaRef ds:uri="http://schemas.microsoft.com/office/2006/metadata/properties"/>
    <ds:schemaRef ds:uri="http://schemas.microsoft.com/office/infopath/2007/PartnerControls"/>
    <ds:schemaRef ds:uri="a72d8ac4-480f-42af-94c3-1b0dbed1eec5"/>
    <ds:schemaRef ds:uri="1011fb24-49a0-463f-ada9-a8217d0aa252"/>
  </ds:schemaRefs>
</ds:datastoreItem>
</file>

<file path=customXml/itemProps2.xml><?xml version="1.0" encoding="utf-8"?>
<ds:datastoreItem xmlns:ds="http://schemas.openxmlformats.org/officeDocument/2006/customXml" ds:itemID="{383D3FEB-0EA9-4FBB-9189-94CC1E24FB97}">
  <ds:schemaRefs>
    <ds:schemaRef ds:uri="http://schemas.microsoft.com/sharepoint/v3/contenttype/forms"/>
  </ds:schemaRefs>
</ds:datastoreItem>
</file>

<file path=customXml/itemProps3.xml><?xml version="1.0" encoding="utf-8"?>
<ds:datastoreItem xmlns:ds="http://schemas.openxmlformats.org/officeDocument/2006/customXml" ds:itemID="{026500CD-03DB-42FD-94CD-2815BA4CE2D6}">
  <ds:schemaRefs>
    <ds:schemaRef ds:uri="http://schemas.openxmlformats.org/officeDocument/2006/bibliography"/>
  </ds:schemaRefs>
</ds:datastoreItem>
</file>

<file path=customXml/itemProps4.xml><?xml version="1.0" encoding="utf-8"?>
<ds:datastoreItem xmlns:ds="http://schemas.openxmlformats.org/officeDocument/2006/customXml" ds:itemID="{E3CC3DD6-A6C2-47D2-AA1A-BF29912CA248}"/>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Katheleen Linton</dc:creator>
  <cp:keywords/>
  <cp:lastModifiedBy>Tiffany Clark</cp:lastModifiedBy>
  <cp:revision>5</cp:revision>
  <dcterms:created xsi:type="dcterms:W3CDTF">2024-09-11T18:04:00Z</dcterms:created>
  <dcterms:modified xsi:type="dcterms:W3CDTF">2024-09-11T18:06:00Z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0x0101001CA194C411A66A43AF5A340052B5B424</vt:lpwstr>
  </property>
  <property fmtid="{D5CDD505-2E9C-101B-9397-08002B2CF9AE}" pid="3" name="MediaServiceImageTags">
    <vt:lpwstr/>
  </property>
  <property fmtid="{D5CDD505-2E9C-101B-9397-08002B2CF9AE}" pid="4" name="MSIP_Label_7b94a7b8-f06c-4dfe-bdcc-9b548fd58c31_Enabled">
    <vt:lpwstr>true</vt:lpwstr>
  </property>
  <property fmtid="{D5CDD505-2E9C-101B-9397-08002B2CF9AE}" pid="5" name="MSIP_Label_7b94a7b8-f06c-4dfe-bdcc-9b548fd58c31_SetDate">
    <vt:lpwstr>2024-09-03T19:31:49Z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ca7bae8a-4c00-40f2-86a6-92829e3318da</vt:lpwstr>
  </property>
  <property fmtid="{D5CDD505-2E9C-101B-9397-08002B2CF9AE}" pid="10" name="MSIP_Label_7b94a7b8-f06c-4dfe-bdcc-9b548fd58c31_ContentBits">
    <vt:lpwstr>0</vt:lpwstr>
  </property>
</Properties>
</file>