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8DAF7" w14:textId="6C25DC4C" w:rsidR="00C12A95" w:rsidRDefault="00F359DD">
      <w:pPr>
        <w:rPr>
          <w:b/>
        </w:rPr>
        <w:sectPr w:rsidR="00C12A95" w:rsidSect="00A603DA">
          <w:pgSz w:w="12240" w:h="15840"/>
          <w:pgMar w:top="720" w:right="720" w:bottom="720" w:left="720" w:header="720" w:footer="720" w:gutter="0"/>
          <w:pgNumType w:start="1"/>
          <w:cols w:space="720"/>
        </w:sectPr>
      </w:pPr>
      <w:r>
        <w:rPr>
          <w:b/>
        </w:rPr>
        <w:t>A</w:t>
      </w:r>
      <w:r w:rsidR="00D0770C">
        <w:rPr>
          <w:b/>
          <w:noProof/>
        </w:rPr>
        <w:drawing>
          <wp:inline distT="0" distB="0" distL="0" distR="0" wp14:anchorId="4B38DB8C" wp14:editId="4B38DB8D">
            <wp:extent cx="6889750" cy="1117033"/>
            <wp:effectExtent l="0" t="0" r="0" b="0"/>
            <wp:docPr id="50" name="Picture 50"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background pattern&#10;&#10;Description automatically generated"/>
                    <pic:cNvPicPr preferRelativeResize="0"/>
                  </pic:nvPicPr>
                  <pic:blipFill>
                    <a:blip r:embed="rId12"/>
                    <a:srcRect/>
                    <a:stretch>
                      <a:fillRect/>
                    </a:stretch>
                  </pic:blipFill>
                  <pic:spPr>
                    <a:xfrm>
                      <a:off x="0" y="0"/>
                      <a:ext cx="6889750" cy="1117033"/>
                    </a:xfrm>
                    <a:prstGeom prst="rect">
                      <a:avLst/>
                    </a:prstGeom>
                    <a:ln/>
                  </pic:spPr>
                </pic:pic>
              </a:graphicData>
            </a:graphic>
          </wp:inline>
        </w:drawing>
      </w:r>
      <w:r w:rsidR="00D0770C">
        <w:rPr>
          <w:noProof/>
        </w:rPr>
        <mc:AlternateContent>
          <mc:Choice Requires="wps">
            <w:drawing>
              <wp:anchor distT="0" distB="0" distL="114300" distR="114300" simplePos="0" relativeHeight="251658241" behindDoc="0" locked="0" layoutInCell="1" hidden="0" allowOverlap="1" wp14:anchorId="4B38DB8E" wp14:editId="4B38DB8F">
                <wp:simplePos x="0" y="0"/>
                <wp:positionH relativeFrom="column">
                  <wp:posOffset>-12699</wp:posOffset>
                </wp:positionH>
                <wp:positionV relativeFrom="paragraph">
                  <wp:posOffset>1181100</wp:posOffset>
                </wp:positionV>
                <wp:extent cx="0"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1903348" y="3780000"/>
                          <a:ext cx="6885305" cy="0"/>
                        </a:xfrm>
                        <a:prstGeom prst="straightConnector1">
                          <a:avLst/>
                        </a:prstGeom>
                        <a:noFill/>
                        <a:ln w="9525" cap="flat" cmpd="sng">
                          <a:solidFill>
                            <a:srgbClr val="FF0000"/>
                          </a:solidFill>
                          <a:prstDash val="solid"/>
                          <a:miter lim="800000"/>
                          <a:headEnd type="none" w="sm" len="sm"/>
                          <a:tailEnd type="none" w="sm" len="sm"/>
                        </a:ln>
                      </wps:spPr>
                      <wps:bodyPr/>
                    </wps:wsp>
                  </a:graphicData>
                </a:graphic>
              </wp:anchor>
            </w:drawing>
          </mc:Choice>
          <mc:Fallback>
            <w:pict>
              <v:shapetype w14:anchorId="782FAE84" id="_x0000_t32" coordsize="21600,21600" o:spt="32" o:oned="t" path="m,l21600,21600e" filled="f">
                <v:path arrowok="t" fillok="f" o:connecttype="none"/>
                <o:lock v:ext="edit" shapetype="t"/>
              </v:shapetype>
              <v:shape id="Straight Arrow Connector 35" o:spid="_x0000_s1026" type="#_x0000_t32" style="position:absolute;margin-left:-1pt;margin-top:93pt;width:0;height:1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" strokecolor="red">
                <v:stroke startarrowwidth="narrow" startarrowlength="short" endarrowwidth="narrow" endarrowlength="short" joinstyle="miter"/>
              </v:shape>
            </w:pict>
          </mc:Fallback>
        </mc:AlternateContent>
      </w:r>
    </w:p>
    <w:p w14:paraId="4BBF26BA" w14:textId="16FA6125" w:rsidR="00E804AE" w:rsidRDefault="00E804AE" w:rsidP="00E804AE">
      <w:pPr>
        <w:ind w:right="720"/>
        <w:rPr>
          <w:rFonts w:ascii="Gotham Medium" w:hAnsi="Gotham Medium"/>
          <w:color w:val="1F3468"/>
          <w:sz w:val="40"/>
          <w:szCs w:val="40"/>
        </w:rPr>
        <w:sectPr w:rsidR="00E804AE" w:rsidSect="00A603DA">
          <w:type w:val="continuous"/>
          <w:pgSz w:w="12240" w:h="15840"/>
          <w:pgMar w:top="720" w:right="720" w:bottom="720" w:left="720" w:header="720" w:footer="720" w:gutter="0"/>
          <w:cols w:space="720"/>
          <w:docGrid w:linePitch="360"/>
        </w:sectPr>
      </w:pPr>
      <w:r w:rsidRPr="00BC79A5">
        <w:rPr>
          <w:rFonts w:ascii="Gotham Medium" w:hAnsi="Gotham Medium"/>
          <w:noProof/>
          <w:color w:val="002060"/>
          <w:sz w:val="40"/>
          <w:szCs w:val="40"/>
        </w:rPr>
        <mc:AlternateContent>
          <mc:Choice Requires="wps">
            <w:drawing>
              <wp:anchor distT="0" distB="0" distL="114300" distR="114300" simplePos="0" relativeHeight="251658243" behindDoc="0" locked="0" layoutInCell="1" allowOverlap="1" wp14:anchorId="7F3D8622" wp14:editId="764FBB03">
                <wp:simplePos x="0" y="0"/>
                <wp:positionH relativeFrom="margin">
                  <wp:posOffset>0</wp:posOffset>
                </wp:positionH>
                <wp:positionV relativeFrom="paragraph">
                  <wp:posOffset>392267</wp:posOffset>
                </wp:positionV>
                <wp:extent cx="6885305" cy="8890"/>
                <wp:effectExtent l="0" t="0" r="29845" b="29210"/>
                <wp:wrapNone/>
                <wp:docPr id="1065389447" name="Straight Connector 1065389447"/>
                <wp:cNvGraphicFramePr/>
                <a:graphic xmlns:a="http://schemas.openxmlformats.org/drawingml/2006/main">
                  <a:graphicData uri="http://schemas.microsoft.com/office/word/2010/wordprocessingShape">
                    <wps:wsp>
                      <wps:cNvCnPr/>
                      <wps:spPr>
                        <a:xfrm flipV="1">
                          <a:off x="0" y="0"/>
                          <a:ext cx="6885305" cy="889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5D95C" id="Straight Connector 1065389447"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0.9pt" to="542.1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" strokecolor="red">
                <v:stroke joinstyle="miter"/>
                <w10:wrap anchorx="margin"/>
              </v:line>
            </w:pict>
          </mc:Fallback>
        </mc:AlternateContent>
      </w:r>
    </w:p>
    <w:p w14:paraId="6E250171" w14:textId="77777777" w:rsidR="00282E89" w:rsidRPr="00EE36C2" w:rsidRDefault="00282E89" w:rsidP="00282E89">
      <w:pPr>
        <w:spacing w:before="120"/>
        <w:ind w:left="720" w:right="720"/>
        <w:jc w:val="center"/>
        <w:rPr>
          <w:rFonts w:ascii="Gotham Medium" w:hAnsi="Gotham Medium"/>
          <w:b/>
          <w:bCs/>
          <w:color w:val="104177"/>
          <w:sz w:val="56"/>
          <w:szCs w:val="56"/>
        </w:rPr>
      </w:pPr>
      <w:r w:rsidRPr="00EE36C2">
        <w:rPr>
          <w:rFonts w:ascii="Gotham Medium" w:hAnsi="Gotham Medium"/>
          <w:b/>
          <w:bCs/>
          <w:color w:val="104177"/>
          <w:sz w:val="56"/>
          <w:szCs w:val="56"/>
        </w:rPr>
        <w:t xml:space="preserve">The PMI Evolve Project </w:t>
      </w:r>
    </w:p>
    <w:p w14:paraId="1CB543CA" w14:textId="6D89A19A" w:rsidR="00282E89" w:rsidRPr="00EE36C2" w:rsidRDefault="00C30AC8" w:rsidP="00282E89">
      <w:pPr>
        <w:ind w:left="720" w:right="720"/>
        <w:jc w:val="center"/>
        <w:rPr>
          <w:rFonts w:ascii="Gotham Medium" w:hAnsi="Gotham Medium"/>
          <w:b/>
          <w:bCs/>
          <w:color w:val="104177"/>
          <w:sz w:val="56"/>
          <w:szCs w:val="56"/>
        </w:rPr>
      </w:pPr>
      <w:r w:rsidRPr="00A55BF4">
        <w:rPr>
          <w:rFonts w:ascii="Gotham Medium" w:eastAsia="Montserrat Medium" w:hAnsi="Gotham Medium" w:cs="Montserrat Medium"/>
          <w:b/>
          <w:color w:val="104177"/>
          <w:sz w:val="56"/>
          <w:szCs w:val="56"/>
        </w:rPr>
        <w:t>Côte d’Ivoire</w:t>
      </w:r>
      <w:r w:rsidR="00E804AE">
        <w:rPr>
          <w:rFonts w:ascii="Gotham Medium" w:hAnsi="Gotham Medium"/>
          <w:b/>
          <w:bCs/>
          <w:color w:val="104177"/>
          <w:sz w:val="56"/>
          <w:szCs w:val="56"/>
        </w:rPr>
        <w:t xml:space="preserve"> </w:t>
      </w:r>
      <w:r w:rsidR="00282E89">
        <w:rPr>
          <w:rFonts w:ascii="Gotham Medium" w:hAnsi="Gotham Medium"/>
          <w:b/>
          <w:bCs/>
          <w:color w:val="104177"/>
          <w:sz w:val="56"/>
          <w:szCs w:val="56"/>
        </w:rPr>
        <w:t xml:space="preserve">Durability Monitoring Snapshot: </w:t>
      </w:r>
      <w:r w:rsidR="00F10082">
        <w:rPr>
          <w:rFonts w:ascii="Gotham Medium" w:hAnsi="Gotham Medium"/>
          <w:b/>
          <w:bCs/>
          <w:color w:val="104177"/>
          <w:sz w:val="56"/>
          <w:szCs w:val="56"/>
        </w:rPr>
        <w:t>36</w:t>
      </w:r>
      <w:r>
        <w:rPr>
          <w:rFonts w:ascii="Gotham Medium" w:hAnsi="Gotham Medium"/>
          <w:b/>
          <w:bCs/>
          <w:color w:val="104177"/>
          <w:sz w:val="56"/>
          <w:szCs w:val="56"/>
        </w:rPr>
        <w:t>-</w:t>
      </w:r>
      <w:r w:rsidR="00282E89">
        <w:rPr>
          <w:rFonts w:ascii="Gotham Medium" w:hAnsi="Gotham Medium"/>
          <w:b/>
          <w:bCs/>
          <w:color w:val="104177"/>
          <w:sz w:val="56"/>
          <w:szCs w:val="56"/>
        </w:rPr>
        <w:t>months</w:t>
      </w:r>
      <w:r w:rsidR="00282E89" w:rsidRPr="00EE36C2">
        <w:rPr>
          <w:rFonts w:ascii="Gotham Medium" w:hAnsi="Gotham Medium"/>
          <w:b/>
          <w:bCs/>
          <w:color w:val="104177"/>
          <w:sz w:val="56"/>
          <w:szCs w:val="56"/>
        </w:rPr>
        <w:t xml:space="preserve"> </w:t>
      </w:r>
    </w:p>
    <w:p w14:paraId="70F65A0C" w14:textId="7848E4E7" w:rsidR="00282E89" w:rsidRDefault="00282E89" w:rsidP="00282E89">
      <w:pPr>
        <w:ind w:left="720" w:right="720"/>
        <w:jc w:val="center"/>
        <w:rPr>
          <w:rFonts w:ascii="Gotham Medium" w:hAnsi="Gotham Medium"/>
          <w:color w:val="1F3468"/>
          <w:sz w:val="40"/>
          <w:szCs w:val="40"/>
        </w:rPr>
      </w:pPr>
      <w:r w:rsidRPr="00BC79A5">
        <w:rPr>
          <w:rFonts w:ascii="Gotham Medium" w:hAnsi="Gotham Medium"/>
          <w:noProof/>
          <w:color w:val="002060"/>
          <w:sz w:val="40"/>
          <w:szCs w:val="40"/>
        </w:rPr>
        <mc:AlternateContent>
          <mc:Choice Requires="wps">
            <w:drawing>
              <wp:anchor distT="0" distB="0" distL="114300" distR="114300" simplePos="0" relativeHeight="251658240" behindDoc="0" locked="0" layoutInCell="1" allowOverlap="1" wp14:anchorId="35E96B02" wp14:editId="56BAEDE3">
                <wp:simplePos x="0" y="0"/>
                <wp:positionH relativeFrom="margin">
                  <wp:posOffset>0</wp:posOffset>
                </wp:positionH>
                <wp:positionV relativeFrom="paragraph">
                  <wp:posOffset>392267</wp:posOffset>
                </wp:positionV>
                <wp:extent cx="6885305" cy="8890"/>
                <wp:effectExtent l="0" t="0" r="29845" b="29210"/>
                <wp:wrapNone/>
                <wp:docPr id="7" name="Straight Connector 7"/>
                <wp:cNvGraphicFramePr/>
                <a:graphic xmlns:a="http://schemas.openxmlformats.org/drawingml/2006/main">
                  <a:graphicData uri="http://schemas.microsoft.com/office/word/2010/wordprocessingShape">
                    <wps:wsp>
                      <wps:cNvCnPr/>
                      <wps:spPr>
                        <a:xfrm flipV="1">
                          <a:off x="0" y="0"/>
                          <a:ext cx="6885305" cy="889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F48BF"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0.9pt" to="542.1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" strokecolor="red">
                <v:stroke joinstyle="miter"/>
                <w10:wrap anchorx="margin"/>
              </v:line>
            </w:pict>
          </mc:Fallback>
        </mc:AlternateContent>
      </w:r>
      <w:r w:rsidR="00C30AC8">
        <w:rPr>
          <w:rFonts w:ascii="Gotham Medium" w:hAnsi="Gotham Medium"/>
          <w:noProof/>
          <w:color w:val="002060"/>
          <w:sz w:val="40"/>
          <w:szCs w:val="40"/>
        </w:rPr>
        <w:t>March 18-27, 2024</w:t>
      </w:r>
    </w:p>
    <w:p w14:paraId="4B38DAFC" w14:textId="77777777" w:rsidR="00C12A95" w:rsidRDefault="00C12A95">
      <w:pPr>
        <w:ind w:left="720" w:right="720"/>
        <w:jc w:val="center"/>
        <w:rPr>
          <w:rFonts w:ascii="Montserrat Medium" w:eastAsia="Montserrat Medium" w:hAnsi="Montserrat Medium" w:cs="Montserrat Medium"/>
          <w:color w:val="1F3468"/>
          <w:sz w:val="40"/>
          <w:szCs w:val="40"/>
        </w:rPr>
      </w:pPr>
    </w:p>
    <w:p w14:paraId="4B38DAFD" w14:textId="77777777" w:rsidR="00C12A95" w:rsidRDefault="00C12A95">
      <w:pPr>
        <w:ind w:left="720" w:right="720"/>
        <w:jc w:val="center"/>
        <w:rPr>
          <w:rFonts w:ascii="Montserrat Medium" w:eastAsia="Montserrat Medium" w:hAnsi="Montserrat Medium" w:cs="Montserrat Medium"/>
          <w:color w:val="1F3468"/>
          <w:sz w:val="40"/>
          <w:szCs w:val="40"/>
        </w:rPr>
      </w:pPr>
    </w:p>
    <w:p w14:paraId="4B38DAFE" w14:textId="77777777" w:rsidR="00C12A95" w:rsidRDefault="00C12A95">
      <w:pPr>
        <w:ind w:left="720" w:right="720"/>
        <w:jc w:val="center"/>
        <w:rPr>
          <w:rFonts w:ascii="Montserrat Medium" w:eastAsia="Montserrat Medium" w:hAnsi="Montserrat Medium" w:cs="Montserrat Medium"/>
          <w:color w:val="1F3468"/>
          <w:sz w:val="40"/>
          <w:szCs w:val="40"/>
        </w:rPr>
      </w:pPr>
    </w:p>
    <w:p w14:paraId="4B38DAFF" w14:textId="77777777" w:rsidR="00C12A95" w:rsidRDefault="00C12A95">
      <w:pPr>
        <w:ind w:left="720" w:right="720"/>
        <w:rPr>
          <w:rFonts w:ascii="Montserrat Medium" w:eastAsia="Montserrat Medium" w:hAnsi="Montserrat Medium" w:cs="Montserrat Medium"/>
          <w:color w:val="1F3468"/>
          <w:sz w:val="40"/>
          <w:szCs w:val="40"/>
        </w:rPr>
      </w:pPr>
    </w:p>
    <w:p w14:paraId="4B38DB00" w14:textId="77777777" w:rsidR="00C12A95" w:rsidRDefault="00C12A95">
      <w:pPr>
        <w:ind w:left="720" w:right="720"/>
        <w:rPr>
          <w:rFonts w:ascii="Montserrat Medium" w:eastAsia="Montserrat Medium" w:hAnsi="Montserrat Medium" w:cs="Montserrat Medium"/>
          <w:color w:val="1F3468"/>
          <w:sz w:val="40"/>
          <w:szCs w:val="40"/>
        </w:rPr>
      </w:pPr>
    </w:p>
    <w:p w14:paraId="4B38DB01" w14:textId="77777777" w:rsidR="00C12A95" w:rsidRDefault="00C12A95">
      <w:pPr>
        <w:ind w:left="720" w:right="720"/>
        <w:rPr>
          <w:rFonts w:ascii="Montserrat Medium" w:eastAsia="Montserrat Medium" w:hAnsi="Montserrat Medium" w:cs="Montserrat Medium"/>
          <w:color w:val="1F3468"/>
          <w:sz w:val="40"/>
          <w:szCs w:val="40"/>
        </w:rPr>
      </w:pPr>
    </w:p>
    <w:p w14:paraId="4B38DB02" w14:textId="77777777" w:rsidR="00C12A95" w:rsidRDefault="00C12A95">
      <w:pPr>
        <w:ind w:left="720" w:right="720"/>
        <w:rPr>
          <w:rFonts w:ascii="Montserrat Medium" w:eastAsia="Montserrat Medium" w:hAnsi="Montserrat Medium" w:cs="Montserrat Medium"/>
          <w:color w:val="1F3468"/>
          <w:sz w:val="40"/>
          <w:szCs w:val="40"/>
        </w:rPr>
      </w:pPr>
    </w:p>
    <w:p w14:paraId="4B38DB03" w14:textId="77777777" w:rsidR="00C12A95" w:rsidRDefault="00C12A95">
      <w:pPr>
        <w:ind w:left="720" w:right="720"/>
        <w:rPr>
          <w:rFonts w:ascii="Montserrat Medium" w:eastAsia="Montserrat Medium" w:hAnsi="Montserrat Medium" w:cs="Montserrat Medium"/>
          <w:color w:val="1F3468"/>
          <w:sz w:val="40"/>
          <w:szCs w:val="40"/>
        </w:rPr>
      </w:pPr>
    </w:p>
    <w:p w14:paraId="4B38DB04" w14:textId="77777777" w:rsidR="00C12A95" w:rsidRDefault="00C12A95">
      <w:pPr>
        <w:ind w:left="720" w:right="720"/>
        <w:rPr>
          <w:rFonts w:ascii="Montserrat Medium" w:eastAsia="Montserrat Medium" w:hAnsi="Montserrat Medium" w:cs="Montserrat Medium"/>
          <w:color w:val="1F3468"/>
          <w:sz w:val="40"/>
          <w:szCs w:val="40"/>
        </w:rPr>
        <w:sectPr w:rsidR="00C12A95" w:rsidSect="00A603D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sectPr>
      </w:pPr>
    </w:p>
    <w:p w14:paraId="4B38DB05" w14:textId="77777777" w:rsidR="00C12A95" w:rsidRDefault="00D0770C">
      <w:pPr>
        <w:pStyle w:val="Heading2"/>
        <w:ind w:left="720" w:hanging="720"/>
      </w:pPr>
      <w:bookmarkStart w:id="0" w:name="_heading=h.gjdgxs" w:colFirst="0" w:colLast="0"/>
      <w:bookmarkEnd w:id="0"/>
      <w:r>
        <w:lastRenderedPageBreak/>
        <w:t>Study Overview</w:t>
      </w:r>
    </w:p>
    <w:p w14:paraId="4B38DB06" w14:textId="77777777" w:rsidR="00C12A95" w:rsidRPr="00D247CE" w:rsidRDefault="00D0770C" w:rsidP="003B4251">
      <w:pPr>
        <w:pStyle w:val="1-BodyText"/>
        <w:rPr>
          <w:b/>
          <w:bCs/>
        </w:rPr>
      </w:pPr>
      <w:r w:rsidRPr="00D247CE">
        <w:rPr>
          <w:b/>
          <w:bCs/>
        </w:rPr>
        <w:t>Net products:</w:t>
      </w:r>
    </w:p>
    <w:p w14:paraId="4B38DB07" w14:textId="7D5A7EC3" w:rsidR="00C12A95" w:rsidRDefault="00D0770C" w:rsidP="00D247CE">
      <w:pPr>
        <w:pStyle w:val="1-BodyText"/>
        <w:numPr>
          <w:ilvl w:val="0"/>
          <w:numId w:val="2"/>
        </w:numPr>
      </w:pPr>
      <w:proofErr w:type="spellStart"/>
      <w:r>
        <w:t>PermaNet</w:t>
      </w:r>
      <w:proofErr w:type="spellEnd"/>
      <w:r>
        <w:t>® 3.0 (deltamethrin +</w:t>
      </w:r>
      <w:r w:rsidR="00343116">
        <w:t xml:space="preserve"> piperonyl butoxide (</w:t>
      </w:r>
      <w:r>
        <w:t>PBO</w:t>
      </w:r>
      <w:r w:rsidR="00343116">
        <w:t>)</w:t>
      </w:r>
      <w:r>
        <w:t>)</w:t>
      </w:r>
    </w:p>
    <w:p w14:paraId="4B38DB08" w14:textId="3BD7BE6A" w:rsidR="00C12A95" w:rsidRDefault="00D0770C" w:rsidP="00D247CE">
      <w:pPr>
        <w:pStyle w:val="1-BodyText"/>
        <w:numPr>
          <w:ilvl w:val="0"/>
          <w:numId w:val="2"/>
        </w:numPr>
      </w:pPr>
      <w:r>
        <w:t xml:space="preserve">Interceptor® G2 (alpha-cypermethrin + </w:t>
      </w:r>
      <w:proofErr w:type="spellStart"/>
      <w:r>
        <w:t>chlorfenapyr</w:t>
      </w:r>
      <w:proofErr w:type="spellEnd"/>
      <w:r>
        <w:t>)</w:t>
      </w:r>
    </w:p>
    <w:p w14:paraId="4B38DB09" w14:textId="77777777" w:rsidR="00C12A95" w:rsidRDefault="00D0770C" w:rsidP="00D247CE">
      <w:pPr>
        <w:pStyle w:val="1-BodyText"/>
      </w:pPr>
      <w:r>
        <w:rPr>
          <w:b/>
        </w:rPr>
        <w:t>Design:</w:t>
      </w:r>
      <w:r>
        <w:t xml:space="preserve"> Two brands in similar zones</w:t>
      </w:r>
    </w:p>
    <w:p w14:paraId="4B38DB0A" w14:textId="77777777" w:rsidR="00C12A95" w:rsidRDefault="00D0770C" w:rsidP="00D247CE">
      <w:pPr>
        <w:pStyle w:val="1-BodyText"/>
      </w:pPr>
      <w:r>
        <w:rPr>
          <w:b/>
        </w:rPr>
        <w:t>Campaign date:</w:t>
      </w:r>
      <w:r>
        <w:t xml:space="preserve"> April 25-29, 2021</w:t>
      </w:r>
    </w:p>
    <w:p w14:paraId="4B38DB0B" w14:textId="64FED54C" w:rsidR="00C12A95" w:rsidRDefault="00D0770C" w:rsidP="00D247CE">
      <w:pPr>
        <w:pStyle w:val="1-BodyText"/>
      </w:pPr>
      <w:r>
        <w:rPr>
          <w:b/>
        </w:rPr>
        <w:t>Last data collection round:</w:t>
      </w:r>
      <w:r>
        <w:t xml:space="preserve"> </w:t>
      </w:r>
      <w:r w:rsidR="00A61B58">
        <w:t>36</w:t>
      </w:r>
      <w:r>
        <w:t xml:space="preserve"> months (</w:t>
      </w:r>
      <w:r w:rsidR="00A61B58">
        <w:t>March</w:t>
      </w:r>
      <w:r>
        <w:t xml:space="preserve"> 1</w:t>
      </w:r>
      <w:r w:rsidR="00A61B58">
        <w:t>8</w:t>
      </w:r>
      <w:r>
        <w:t>-2</w:t>
      </w:r>
      <w:r w:rsidR="00A61B58">
        <w:t>7</w:t>
      </w:r>
      <w:r>
        <w:t>, 202</w:t>
      </w:r>
      <w:r w:rsidR="00A61B58">
        <w:t>4</w:t>
      </w:r>
      <w:r>
        <w:t>)</w:t>
      </w:r>
    </w:p>
    <w:p w14:paraId="4B38DB0C" w14:textId="77777777" w:rsidR="00C12A95" w:rsidRDefault="00C12A95">
      <w:pPr>
        <w:pBdr>
          <w:top w:val="nil"/>
          <w:left w:val="nil"/>
          <w:bottom w:val="nil"/>
          <w:right w:val="nil"/>
          <w:between w:val="nil"/>
        </w:pBdr>
        <w:rPr>
          <w:rFonts w:ascii="Gill Sans" w:hAnsi="Gill Sans"/>
          <w:color w:val="000000"/>
        </w:rPr>
      </w:pPr>
    </w:p>
    <w:p w14:paraId="4B38DB0D" w14:textId="77777777" w:rsidR="00C12A95" w:rsidRDefault="00D0770C">
      <w:pPr>
        <w:pStyle w:val="Heading2"/>
        <w:ind w:left="720" w:hanging="720"/>
      </w:pPr>
      <w:r>
        <w:t>Study Site Locations Within Cote d’Ivoire</w:t>
      </w:r>
      <w:r>
        <w:rPr>
          <w:noProof/>
        </w:rPr>
        <w:drawing>
          <wp:anchor distT="0" distB="0" distL="114300" distR="114300" simplePos="0" relativeHeight="251658242" behindDoc="0" locked="0" layoutInCell="1" hidden="0" allowOverlap="1" wp14:anchorId="4B38DB92" wp14:editId="4B38DB93">
            <wp:simplePos x="0" y="0"/>
            <wp:positionH relativeFrom="column">
              <wp:posOffset>1</wp:posOffset>
            </wp:positionH>
            <wp:positionV relativeFrom="paragraph">
              <wp:posOffset>310510</wp:posOffset>
            </wp:positionV>
            <wp:extent cx="4861560" cy="3254375"/>
            <wp:effectExtent l="0" t="0" r="0" b="0"/>
            <wp:wrapTopAndBottom distT="0" distB="0"/>
            <wp:docPr id="45" name="Picture 45"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graphical user interface&#10;&#10;Description automatically generated"/>
                    <pic:cNvPicPr preferRelativeResize="0"/>
                  </pic:nvPicPr>
                  <pic:blipFill>
                    <a:blip r:embed="rId19"/>
                    <a:srcRect/>
                    <a:stretch>
                      <a:fillRect/>
                    </a:stretch>
                  </pic:blipFill>
                  <pic:spPr>
                    <a:xfrm>
                      <a:off x="0" y="0"/>
                      <a:ext cx="4861560" cy="3254375"/>
                    </a:xfrm>
                    <a:prstGeom prst="rect">
                      <a:avLst/>
                    </a:prstGeom>
                    <a:ln/>
                  </pic:spPr>
                </pic:pic>
              </a:graphicData>
            </a:graphic>
          </wp:anchor>
        </w:drawing>
      </w:r>
    </w:p>
    <w:p w14:paraId="4B38DB0E" w14:textId="77777777" w:rsidR="00C12A95" w:rsidRDefault="00D0770C">
      <w:pPr>
        <w:spacing w:line="259" w:lineRule="auto"/>
        <w:rPr>
          <w:rFonts w:ascii="Gill Sans" w:hAnsi="Gill Sans"/>
          <w:color w:val="002A6C"/>
          <w:sz w:val="32"/>
          <w:szCs w:val="32"/>
        </w:rPr>
      </w:pPr>
      <w:r>
        <w:br w:type="page"/>
      </w:r>
    </w:p>
    <w:p w14:paraId="4B38DB0F" w14:textId="77777777" w:rsidR="00C12A95" w:rsidRDefault="00D0770C">
      <w:pPr>
        <w:pStyle w:val="Heading2"/>
        <w:ind w:left="720" w:hanging="720"/>
      </w:pPr>
      <w:r>
        <w:lastRenderedPageBreak/>
        <w:t>Key Results</w:t>
      </w:r>
    </w:p>
    <w:p w14:paraId="36F567D3" w14:textId="241457FF" w:rsidR="00642897" w:rsidRDefault="00D0770C" w:rsidP="00E47528">
      <w:pPr>
        <w:pStyle w:val="1-BodyText"/>
      </w:pPr>
      <w:r>
        <w:t xml:space="preserve">At </w:t>
      </w:r>
      <w:r w:rsidR="00D12C50">
        <w:t>study endline</w:t>
      </w:r>
      <w:r>
        <w:t xml:space="preserve">, the proportion of cohort nets remaining and in serviceable condition was </w:t>
      </w:r>
      <w:r w:rsidR="00F6398D">
        <w:t xml:space="preserve">high </w:t>
      </w:r>
      <w:r>
        <w:t>across</w:t>
      </w:r>
      <w:r w:rsidR="00D12C50">
        <w:t xml:space="preserve"> both </w:t>
      </w:r>
      <w:r>
        <w:t>study sites</w:t>
      </w:r>
      <w:r w:rsidR="00EE24FD">
        <w:t>,</w:t>
      </w:r>
      <w:r w:rsidR="00280FE0">
        <w:t xml:space="preserve"> </w:t>
      </w:r>
      <w:r w:rsidR="00EE24FD" w:rsidRPr="00EE24FD">
        <w:t xml:space="preserve">although </w:t>
      </w:r>
      <w:r w:rsidR="00DB4156">
        <w:t xml:space="preserve">it </w:t>
      </w:r>
      <w:r w:rsidR="00EE24FD">
        <w:t>wa</w:t>
      </w:r>
      <w:r w:rsidR="00EE24FD" w:rsidRPr="00EE24FD">
        <w:t>s marginally</w:t>
      </w:r>
      <w:r w:rsidR="00BB6DC6">
        <w:t xml:space="preserve"> but significantly</w:t>
      </w:r>
      <w:r w:rsidR="00EE24FD" w:rsidRPr="00EE24FD">
        <w:t xml:space="preserve"> higher in </w:t>
      </w:r>
      <w:proofErr w:type="spellStart"/>
      <w:r w:rsidR="00EE24FD" w:rsidRPr="00EE24FD">
        <w:t>Abengourou</w:t>
      </w:r>
      <w:proofErr w:type="spellEnd"/>
      <w:r w:rsidR="006A64CD">
        <w:t xml:space="preserve"> (98%)</w:t>
      </w:r>
      <w:r w:rsidR="00EE24FD" w:rsidRPr="00EE24FD">
        <w:t xml:space="preserve"> </w:t>
      </w:r>
      <w:r w:rsidR="00BB6DC6">
        <w:t>than</w:t>
      </w:r>
      <w:r w:rsidR="00EE24FD" w:rsidRPr="00EE24FD">
        <w:t xml:space="preserve"> </w:t>
      </w:r>
      <w:proofErr w:type="spellStart"/>
      <w:r w:rsidR="00EE24FD" w:rsidRPr="00EE24FD">
        <w:t>Aboisso</w:t>
      </w:r>
      <w:proofErr w:type="spellEnd"/>
      <w:r w:rsidR="00EE24FD" w:rsidRPr="00EE24FD">
        <w:t xml:space="preserve"> </w:t>
      </w:r>
      <w:r>
        <w:t>(9</w:t>
      </w:r>
      <w:r w:rsidR="00DF30DF">
        <w:t>1</w:t>
      </w:r>
      <w:r>
        <w:t>%</w:t>
      </w:r>
      <w:r w:rsidR="00FD60E3">
        <w:t xml:space="preserve">, </w:t>
      </w:r>
      <w:r w:rsidR="00FD60E3" w:rsidRPr="007E1B2E">
        <w:rPr>
          <w:i/>
          <w:iCs/>
        </w:rPr>
        <w:t>p</w:t>
      </w:r>
      <w:r w:rsidR="00FD60E3">
        <w:t>=</w:t>
      </w:r>
      <w:r w:rsidR="00FD60E3" w:rsidRPr="00FD60E3">
        <w:t>0.01</w:t>
      </w:r>
      <w:r w:rsidR="00F73206">
        <w:t>1</w:t>
      </w:r>
      <w:r>
        <w:t>)</w:t>
      </w:r>
      <w:r w:rsidR="005139D2">
        <w:t xml:space="preserve"> (Table 1)</w:t>
      </w:r>
      <w:r>
        <w:t xml:space="preserve">. In both </w:t>
      </w:r>
      <w:r w:rsidR="00BB6DC6">
        <w:t>study sites</w:t>
      </w:r>
      <w:r>
        <w:t xml:space="preserve">, attrition due to wear and tear </w:t>
      </w:r>
      <w:r w:rsidR="00DF30DF">
        <w:t xml:space="preserve">remained </w:t>
      </w:r>
      <w:r>
        <w:t>low</w:t>
      </w:r>
      <w:r w:rsidR="00293733">
        <w:t xml:space="preserve"> </w:t>
      </w:r>
      <w:r>
        <w:t>(</w:t>
      </w:r>
      <w:r w:rsidR="00DF30DF">
        <w:t>8</w:t>
      </w:r>
      <w:r>
        <w:t xml:space="preserve">% in </w:t>
      </w:r>
      <w:proofErr w:type="spellStart"/>
      <w:r>
        <w:t>Abengourou</w:t>
      </w:r>
      <w:proofErr w:type="spellEnd"/>
      <w:r>
        <w:t xml:space="preserve"> and </w:t>
      </w:r>
      <w:r w:rsidR="00DF30DF">
        <w:t>11</w:t>
      </w:r>
      <w:r>
        <w:t xml:space="preserve">% in </w:t>
      </w:r>
      <w:proofErr w:type="spellStart"/>
      <w:r>
        <w:t>Aboisso</w:t>
      </w:r>
      <w:proofErr w:type="spellEnd"/>
      <w:r>
        <w:t xml:space="preserve">). </w:t>
      </w:r>
      <w:r w:rsidR="00642897">
        <w:t xml:space="preserve">Generally, the proportion of cohort nets hanging over sleeping spaces (tied or untied) improved from 29% to 49% in </w:t>
      </w:r>
      <w:proofErr w:type="spellStart"/>
      <w:r w:rsidR="00642897">
        <w:t>Abengourou</w:t>
      </w:r>
      <w:proofErr w:type="spellEnd"/>
      <w:r w:rsidR="00642897">
        <w:t xml:space="preserve"> and from 25% to 59%</w:t>
      </w:r>
      <w:r w:rsidR="00642897" w:rsidRPr="0067785F">
        <w:t xml:space="preserve"> </w:t>
      </w:r>
      <w:r w:rsidR="00642897">
        <w:t xml:space="preserve">in </w:t>
      </w:r>
      <w:proofErr w:type="spellStart"/>
      <w:r w:rsidR="00642897">
        <w:t>Aboisso</w:t>
      </w:r>
      <w:proofErr w:type="spellEnd"/>
      <w:r w:rsidR="00642897">
        <w:t xml:space="preserve"> between baseline and 36-month survey rounds, likely due in part to improved recall of net hanging messaging during 12- and 24-month rounds (78-89% in </w:t>
      </w:r>
      <w:proofErr w:type="spellStart"/>
      <w:r w:rsidR="00642897">
        <w:t>Abengourou</w:t>
      </w:r>
      <w:proofErr w:type="spellEnd"/>
      <w:r w:rsidR="00642897">
        <w:t xml:space="preserve"> and 11-21% in </w:t>
      </w:r>
      <w:proofErr w:type="spellStart"/>
      <w:r w:rsidR="00642897">
        <w:t>Aboisso</w:t>
      </w:r>
      <w:proofErr w:type="spellEnd"/>
      <w:r w:rsidR="00642897">
        <w:t>).</w:t>
      </w:r>
    </w:p>
    <w:p w14:paraId="28B8A8D0" w14:textId="6BA73A43" w:rsidR="000A47CE" w:rsidRPr="006758CE" w:rsidRDefault="00F50D14" w:rsidP="00BB56B8">
      <w:pPr>
        <w:pStyle w:val="1-BodyText"/>
        <w:rPr>
          <w:rFonts w:ascii="Times New Roman" w:eastAsia="Times New Roman" w:hAnsi="Times New Roman" w:cs="Times New Roman"/>
          <w:sz w:val="24"/>
          <w:szCs w:val="24"/>
        </w:rPr>
      </w:pPr>
      <w:r>
        <w:t xml:space="preserve">The high </w:t>
      </w:r>
      <w:r w:rsidR="00F61C2D">
        <w:t xml:space="preserve">proportion of cohort nets remaining in serviceable condition and the low rates of attrition due to wear and tear </w:t>
      </w:r>
      <w:r w:rsidR="00054946">
        <w:t>in</w:t>
      </w:r>
      <w:r w:rsidR="00D9220A">
        <w:t xml:space="preserve"> study districts </w:t>
      </w:r>
      <w:r w:rsidR="00054946">
        <w:t>was</w:t>
      </w:r>
      <w:r w:rsidR="009F60E8">
        <w:t xml:space="preserve"> likely influenced </w:t>
      </w:r>
      <w:r w:rsidR="00E838CC">
        <w:t xml:space="preserve">in part </w:t>
      </w:r>
      <w:r w:rsidR="009F60E8">
        <w:t>by data collection timing</w:t>
      </w:r>
      <w:r w:rsidR="00CA7322">
        <w:t xml:space="preserve"> (i.e. lower transmission season)</w:t>
      </w:r>
      <w:r w:rsidR="009F60E8">
        <w:t xml:space="preserve"> and </w:t>
      </w:r>
      <w:r w:rsidR="00213FFA">
        <w:t>study site location</w:t>
      </w:r>
      <w:r w:rsidR="00CA7322">
        <w:t xml:space="preserve"> (semi-urban </w:t>
      </w:r>
      <w:r w:rsidR="00472944">
        <w:t>areas)</w:t>
      </w:r>
      <w:r w:rsidR="00213FFA">
        <w:t>.</w:t>
      </w:r>
      <w:r w:rsidR="00054946">
        <w:t xml:space="preserve"> </w:t>
      </w:r>
      <w:r w:rsidR="0079727A" w:rsidRPr="0079727A">
        <w:t xml:space="preserve">Not shown in the table below, but relevant to this study, is that </w:t>
      </w:r>
      <w:r w:rsidR="00B63B6B">
        <w:t>th</w:t>
      </w:r>
      <w:r w:rsidR="00B63B6B" w:rsidRPr="0079727A">
        <w:t>e proportion of</w:t>
      </w:r>
      <w:r w:rsidR="008027ED">
        <w:t xml:space="preserve"> cohort</w:t>
      </w:r>
      <w:r w:rsidR="00B63B6B" w:rsidRPr="0079727A">
        <w:t xml:space="preserve"> </w:t>
      </w:r>
      <w:r w:rsidR="008027ED">
        <w:t xml:space="preserve">nets </w:t>
      </w:r>
      <w:r w:rsidR="00B63B6B" w:rsidRPr="0079727A">
        <w:t xml:space="preserve">reported </w:t>
      </w:r>
      <w:r w:rsidR="008027ED">
        <w:t>as</w:t>
      </w:r>
      <w:r w:rsidR="00B63B6B" w:rsidRPr="0079727A">
        <w:t xml:space="preserve"> </w:t>
      </w:r>
      <w:proofErr w:type="gramStart"/>
      <w:r w:rsidR="00B63B6B" w:rsidRPr="0079727A">
        <w:t>ever-used</w:t>
      </w:r>
      <w:proofErr w:type="gramEnd"/>
      <w:r w:rsidR="00B63B6B" w:rsidRPr="0079727A">
        <w:t xml:space="preserve"> </w:t>
      </w:r>
      <w:r w:rsidR="00D24889">
        <w:t xml:space="preserve">by study endline </w:t>
      </w:r>
      <w:r w:rsidR="00B63B6B">
        <w:t xml:space="preserve">was low </w:t>
      </w:r>
      <w:r w:rsidR="00B63B6B" w:rsidRPr="0079727A">
        <w:t>(</w:t>
      </w:r>
      <w:r w:rsidR="00D33BAA">
        <w:t>66</w:t>
      </w:r>
      <w:r w:rsidR="00B63B6B" w:rsidRPr="0079727A">
        <w:t xml:space="preserve">% in </w:t>
      </w:r>
      <w:proofErr w:type="spellStart"/>
      <w:r w:rsidR="00B63B6B" w:rsidRPr="0079727A">
        <w:t>Abengourou</w:t>
      </w:r>
      <w:proofErr w:type="spellEnd"/>
      <w:r w:rsidR="00B63B6B" w:rsidRPr="0079727A">
        <w:t xml:space="preserve"> and </w:t>
      </w:r>
      <w:r w:rsidR="00D33BAA">
        <w:t>59</w:t>
      </w:r>
      <w:r w:rsidR="00B63B6B" w:rsidRPr="0079727A">
        <w:t xml:space="preserve">% in </w:t>
      </w:r>
      <w:proofErr w:type="spellStart"/>
      <w:r w:rsidR="00B63B6B" w:rsidRPr="0079727A">
        <w:t>Aboisso</w:t>
      </w:r>
      <w:proofErr w:type="spellEnd"/>
      <w:r w:rsidR="00B63B6B" w:rsidRPr="0079727A">
        <w:t>)</w:t>
      </w:r>
      <w:r w:rsidR="007C2F56">
        <w:t>,</w:t>
      </w:r>
      <w:r w:rsidR="00D53816">
        <w:t xml:space="preserve"> and </w:t>
      </w:r>
      <w:r w:rsidR="0079727A" w:rsidRPr="0079727A">
        <w:t xml:space="preserve">the average </w:t>
      </w:r>
      <w:r w:rsidR="00847E87">
        <w:t xml:space="preserve">ITN </w:t>
      </w:r>
      <w:proofErr w:type="spellStart"/>
      <w:r w:rsidR="00847E87">
        <w:t>use:access</w:t>
      </w:r>
      <w:proofErr w:type="spellEnd"/>
      <w:r w:rsidR="00847E87">
        <w:t xml:space="preserve"> ratio</w:t>
      </w:r>
      <w:r w:rsidR="0079727A" w:rsidRPr="0079727A">
        <w:t xml:space="preserve"> across survey rounds was very low (0.51 in </w:t>
      </w:r>
      <w:proofErr w:type="spellStart"/>
      <w:r w:rsidR="0079727A" w:rsidRPr="0079727A">
        <w:t>Abengourou</w:t>
      </w:r>
      <w:proofErr w:type="spellEnd"/>
      <w:r w:rsidR="0079727A" w:rsidRPr="0079727A">
        <w:t xml:space="preserve"> and 0.45 in </w:t>
      </w:r>
      <w:proofErr w:type="spellStart"/>
      <w:r w:rsidR="0079727A" w:rsidRPr="0079727A">
        <w:t>Aboisso</w:t>
      </w:r>
      <w:proofErr w:type="spellEnd"/>
      <w:r w:rsidR="0079727A" w:rsidRPr="0079727A">
        <w:t>).</w:t>
      </w:r>
      <w:r w:rsidR="00D16D97">
        <w:t xml:space="preserve"> </w:t>
      </w:r>
      <w:r w:rsidR="00AD292E" w:rsidRPr="006758CE">
        <w:t xml:space="preserve">Furthermore, for </w:t>
      </w:r>
      <w:r w:rsidR="00383417">
        <w:t xml:space="preserve">the same </w:t>
      </w:r>
      <w:proofErr w:type="spellStart"/>
      <w:r w:rsidR="00AD292E" w:rsidRPr="006758CE">
        <w:t>PermaNet</w:t>
      </w:r>
      <w:proofErr w:type="spellEnd"/>
      <w:r w:rsidR="00AD292E" w:rsidRPr="006758CE">
        <w:t xml:space="preserve">® 3.0 </w:t>
      </w:r>
      <w:r w:rsidR="00383417">
        <w:t xml:space="preserve">ITNs </w:t>
      </w:r>
      <w:r w:rsidR="00AD292E" w:rsidRPr="006758CE">
        <w:t>deployed in other countries</w:t>
      </w:r>
      <w:r w:rsidR="00AF5D06">
        <w:t>,</w:t>
      </w:r>
      <w:r w:rsidR="00AD292E">
        <w:rPr>
          <w:rStyle w:val="FootnoteReference"/>
        </w:rPr>
        <w:footnoteReference w:id="2"/>
      </w:r>
      <w:r w:rsidR="00AD292E" w:rsidRPr="006758CE">
        <w:t xml:space="preserve"> the results revealed that a</w:t>
      </w:r>
      <w:r w:rsidR="00635CAD">
        <w:t xml:space="preserve"> higher</w:t>
      </w:r>
      <w:r w:rsidR="00AD292E" w:rsidRPr="006758CE">
        <w:t xml:space="preserve"> proportion of net</w:t>
      </w:r>
      <w:r w:rsidR="00D6395D">
        <w:t>s</w:t>
      </w:r>
      <w:r w:rsidR="00AD292E" w:rsidRPr="006758CE">
        <w:t xml:space="preserve"> </w:t>
      </w:r>
      <w:proofErr w:type="gramStart"/>
      <w:r w:rsidR="00AD292E" w:rsidRPr="006758CE">
        <w:t>ever</w:t>
      </w:r>
      <w:r w:rsidR="00110B48">
        <w:t>-used</w:t>
      </w:r>
      <w:proofErr w:type="gramEnd"/>
      <w:r w:rsidR="00AD292E" w:rsidRPr="006758CE">
        <w:t xml:space="preserve"> resulted in a decrease in net surviving in a serviceable condition at the endline round</w:t>
      </w:r>
      <w:r w:rsidR="00AD292E" w:rsidRPr="00AD292E">
        <w:rPr>
          <w:rFonts w:ascii="Times New Roman" w:eastAsia="Times New Roman" w:hAnsi="Times New Roman" w:cs="Times New Roman"/>
          <w:sz w:val="24"/>
          <w:szCs w:val="24"/>
        </w:rPr>
        <w:t>.</w:t>
      </w:r>
    </w:p>
    <w:p w14:paraId="5199DDE0" w14:textId="77777777" w:rsidR="00D805A2" w:rsidRDefault="000A47CE" w:rsidP="00E47528">
      <w:pPr>
        <w:pStyle w:val="1-BodyText"/>
      </w:pPr>
      <w:r>
        <w:t xml:space="preserve">Across sub-Saharan Africa, net use </w:t>
      </w:r>
      <w:r w:rsidR="00704CC8">
        <w:t xml:space="preserve">in those with access </w:t>
      </w:r>
      <w:r>
        <w:t>varies seasonally</w:t>
      </w:r>
      <w:r w:rsidR="00D41A78">
        <w:t>.</w:t>
      </w:r>
      <w:r>
        <w:rPr>
          <w:rStyle w:val="FootnoteReference"/>
        </w:rPr>
        <w:footnoteReference w:id="3"/>
      </w:r>
      <w:r>
        <w:t xml:space="preserve"> </w:t>
      </w:r>
      <w:r w:rsidR="00795069">
        <w:t>Except for</w:t>
      </w:r>
      <w:r w:rsidR="00591CB2">
        <w:t xml:space="preserve"> the baseline round, </w:t>
      </w:r>
      <w:r w:rsidR="00B3764C">
        <w:t xml:space="preserve">data collection </w:t>
      </w:r>
      <w:r w:rsidR="00991007">
        <w:t>occurred each year in</w:t>
      </w:r>
      <w:r w:rsidR="00B3764C">
        <w:t xml:space="preserve"> March and</w:t>
      </w:r>
      <w:r w:rsidR="00991007">
        <w:t>/or</w:t>
      </w:r>
      <w:r w:rsidR="00B3764C">
        <w:t xml:space="preserve"> </w:t>
      </w:r>
      <w:r w:rsidR="00F055EF">
        <w:t xml:space="preserve">April. Net use during this period </w:t>
      </w:r>
      <w:r w:rsidR="00A924A7">
        <w:t>has been shown to be</w:t>
      </w:r>
      <w:r w:rsidR="00F055EF">
        <w:t xml:space="preserve"> lower than </w:t>
      </w:r>
      <w:r w:rsidR="000B2385">
        <w:t>during the average malaria transmission season (May-December)</w:t>
      </w:r>
      <w:r w:rsidR="00D41A78">
        <w:t>.</w:t>
      </w:r>
      <w:r w:rsidR="000B2385">
        <w:rPr>
          <w:rStyle w:val="FootnoteReference"/>
        </w:rPr>
        <w:footnoteReference w:id="4"/>
      </w:r>
      <w:r w:rsidR="007F0CF7">
        <w:t xml:space="preserve"> </w:t>
      </w:r>
      <w:r w:rsidR="00B83D80">
        <w:t xml:space="preserve">Additionally, </w:t>
      </w:r>
      <w:proofErr w:type="spellStart"/>
      <w:r w:rsidR="00D364C1">
        <w:t>use:access</w:t>
      </w:r>
      <w:proofErr w:type="spellEnd"/>
      <w:r w:rsidR="00D364C1">
        <w:t xml:space="preserve"> </w:t>
      </w:r>
      <w:r w:rsidR="00795069">
        <w:t xml:space="preserve">was lower </w:t>
      </w:r>
      <w:r w:rsidR="00D364C1">
        <w:t xml:space="preserve">in urban areas </w:t>
      </w:r>
      <w:r w:rsidR="00F2209A">
        <w:t>and</w:t>
      </w:r>
      <w:r w:rsidR="007E05FD">
        <w:t xml:space="preserve"> </w:t>
      </w:r>
      <w:r w:rsidR="00F2209A">
        <w:t>generally</w:t>
      </w:r>
      <w:r w:rsidR="002D0CAC">
        <w:t xml:space="preserve"> </w:t>
      </w:r>
      <w:r w:rsidR="00F2209A">
        <w:t>low in Comoe</w:t>
      </w:r>
      <w:r w:rsidR="00A02BAF">
        <w:t xml:space="preserve"> </w:t>
      </w:r>
      <w:r w:rsidR="00E6336E">
        <w:t>District</w:t>
      </w:r>
      <w:r w:rsidR="00F2209A">
        <w:t xml:space="preserve"> (0.72)</w:t>
      </w:r>
      <w:r w:rsidR="00BC3179">
        <w:t>.</w:t>
      </w:r>
      <w:r w:rsidR="00795069">
        <w:rPr>
          <w:rStyle w:val="FootnoteReference"/>
        </w:rPr>
        <w:footnoteReference w:id="5"/>
      </w:r>
      <w:r w:rsidR="00795069">
        <w:rPr>
          <w:vertAlign w:val="superscript"/>
        </w:rPr>
        <w:t>,</w:t>
      </w:r>
      <w:r w:rsidR="00BC6E4F">
        <w:rPr>
          <w:rStyle w:val="FootnoteReference"/>
        </w:rPr>
        <w:footnoteReference w:id="6"/>
      </w:r>
      <w:r w:rsidR="00B83D80">
        <w:t xml:space="preserve"> Both study sites were in semi-urban sub-prefectures in Comoe,</w:t>
      </w:r>
      <w:r w:rsidR="003229C9">
        <w:t xml:space="preserve"> </w:t>
      </w:r>
      <w:r w:rsidR="00147B81">
        <w:t xml:space="preserve">which may have also </w:t>
      </w:r>
      <w:r w:rsidR="00AE4AC0">
        <w:t>contributed</w:t>
      </w:r>
      <w:r w:rsidR="00147B81">
        <w:t xml:space="preserve"> to </w:t>
      </w:r>
      <w:r w:rsidR="00F11BA3">
        <w:t>low observed</w:t>
      </w:r>
      <w:r w:rsidR="00147B81">
        <w:t xml:space="preserve"> </w:t>
      </w:r>
      <w:proofErr w:type="spellStart"/>
      <w:r w:rsidR="00147B81">
        <w:t>use:access</w:t>
      </w:r>
      <w:proofErr w:type="spellEnd"/>
      <w:r w:rsidR="00AE4AC0">
        <w:t>, and thu</w:t>
      </w:r>
      <w:r w:rsidR="003E2F02">
        <w:t>s, minimized physical damage to cohort ITNs</w:t>
      </w:r>
      <w:r w:rsidR="00A23032">
        <w:t>.</w:t>
      </w:r>
    </w:p>
    <w:p w14:paraId="5DBC5300" w14:textId="01B04B83" w:rsidR="00A023C8" w:rsidRDefault="00114F3F" w:rsidP="00A023C8">
      <w:pPr>
        <w:pStyle w:val="1-BodyText"/>
      </w:pPr>
      <w:r>
        <w:t>-</w:t>
      </w:r>
      <w:r w:rsidR="00D7188F" w:rsidRPr="006E638F">
        <w:t xml:space="preserve">. </w:t>
      </w:r>
      <w:r w:rsidR="00D7188F" w:rsidRPr="000553E7">
        <w:t xml:space="preserve">Both ITN brands were highly effective in neutralizing pyrethroid-susceptible mosquitoes after </w:t>
      </w:r>
      <w:r w:rsidR="00D7188F">
        <w:t xml:space="preserve">36 </w:t>
      </w:r>
      <w:r w:rsidR="00D7188F" w:rsidRPr="000553E7">
        <w:t>months</w:t>
      </w:r>
      <w:r w:rsidR="00D7188F">
        <w:t xml:space="preserve"> of field use</w:t>
      </w:r>
      <w:r w:rsidR="00D7188F" w:rsidRPr="000553E7">
        <w:t xml:space="preserve">, with </w:t>
      </w:r>
      <w:r w:rsidR="00D7188F">
        <w:t>mortality</w:t>
      </w:r>
      <w:r w:rsidR="00D7188F" w:rsidRPr="000553E7">
        <w:t xml:space="preserve"> rates exceeding 99%.</w:t>
      </w:r>
      <w:r w:rsidR="00D7188F">
        <w:t xml:space="preserve"> Both brands </w:t>
      </w:r>
      <w:r w:rsidR="00D7188F" w:rsidRPr="000553E7">
        <w:t xml:space="preserve">offered </w:t>
      </w:r>
      <w:r w:rsidR="00D7188F">
        <w:t xml:space="preserve">additional </w:t>
      </w:r>
      <w:r w:rsidR="00D7188F" w:rsidRPr="000553E7">
        <w:t>protection against resistant mosquitoes.</w:t>
      </w:r>
      <w:r w:rsidR="00D7188F">
        <w:t xml:space="preserve"> At endline, 24-hour mortality </w:t>
      </w:r>
      <w:r w:rsidR="00D7188F" w:rsidRPr="000553E7">
        <w:t xml:space="preserve">of </w:t>
      </w:r>
      <w:proofErr w:type="spellStart"/>
      <w:r w:rsidR="00D7188F" w:rsidRPr="000553E7">
        <w:t>PermaNet</w:t>
      </w:r>
      <w:proofErr w:type="spellEnd"/>
      <w:r w:rsidR="00D7188F" w:rsidRPr="000553E7">
        <w:t>® 3.0</w:t>
      </w:r>
      <w:r w:rsidR="00D7188F">
        <w:t xml:space="preserve"> roof panels</w:t>
      </w:r>
      <w:r w:rsidR="00D7188F" w:rsidRPr="000553E7">
        <w:t xml:space="preserve"> </w:t>
      </w:r>
      <w:r w:rsidR="00D7188F">
        <w:t xml:space="preserve">from </w:t>
      </w:r>
      <w:proofErr w:type="spellStart"/>
      <w:r w:rsidR="00D7188F">
        <w:t>Abengourou</w:t>
      </w:r>
      <w:proofErr w:type="spellEnd"/>
      <w:r w:rsidR="00D7188F">
        <w:t xml:space="preserve"> </w:t>
      </w:r>
      <w:proofErr w:type="gramStart"/>
      <w:r w:rsidR="00D7188F">
        <w:t>was</w:t>
      </w:r>
      <w:proofErr w:type="gramEnd"/>
      <w:r w:rsidR="00D7188F">
        <w:t xml:space="preserve"> 12%, while 72-hour mortality of </w:t>
      </w:r>
      <w:r w:rsidR="00D7188F" w:rsidRPr="000553E7">
        <w:t>I</w:t>
      </w:r>
      <w:r w:rsidR="00D7188F">
        <w:t>nterceptor® G2 samples</w:t>
      </w:r>
      <w:r w:rsidR="00D7188F" w:rsidRPr="000553E7">
        <w:t xml:space="preserve"> </w:t>
      </w:r>
      <w:r w:rsidR="00D7188F">
        <w:t>from</w:t>
      </w:r>
      <w:r w:rsidR="00D7188F" w:rsidRPr="000553E7">
        <w:t xml:space="preserve"> </w:t>
      </w:r>
      <w:proofErr w:type="spellStart"/>
      <w:r w:rsidR="00D7188F" w:rsidRPr="000553E7">
        <w:t>Aboisso</w:t>
      </w:r>
      <w:proofErr w:type="spellEnd"/>
      <w:r w:rsidR="00D7188F" w:rsidRPr="000553E7">
        <w:t xml:space="preserve"> remained stable across survey rounds</w:t>
      </w:r>
      <w:r w:rsidR="00D7188F">
        <w:t xml:space="preserve"> (between </w:t>
      </w:r>
      <w:r w:rsidR="00D7188F" w:rsidRPr="000553E7">
        <w:t>63% to 66%</w:t>
      </w:r>
      <w:r w:rsidR="00D7188F">
        <w:t>)</w:t>
      </w:r>
      <w:r w:rsidR="00D7188F" w:rsidRPr="000553E7">
        <w:t>.</w:t>
      </w:r>
      <w:r w:rsidR="00D7188F">
        <w:t xml:space="preserve"> </w:t>
      </w:r>
      <w:r w:rsidR="00D4259C">
        <w:t>Tunnel test b</w:t>
      </w:r>
      <w:r w:rsidR="00D7188F" w:rsidRPr="00E4047A">
        <w:t xml:space="preserve">lood-feeding inhibition (BFI) </w:t>
      </w:r>
      <w:r w:rsidR="00D4259C">
        <w:t>f</w:t>
      </w:r>
      <w:r w:rsidR="00D7188F" w:rsidRPr="00E4047A">
        <w:t>or Interceptor® G2 decreased from 74% at baseline to 43% at endline</w:t>
      </w:r>
      <w:r w:rsidR="00D7188F">
        <w:t xml:space="preserve">. Mean </w:t>
      </w:r>
      <w:proofErr w:type="spellStart"/>
      <w:r w:rsidR="00D7188F">
        <w:t>PermaNet</w:t>
      </w:r>
      <w:proofErr w:type="spellEnd"/>
      <w:r w:rsidR="00D7188F">
        <w:t>® 3.0 PBO content reduced by 73%</w:t>
      </w:r>
      <w:r w:rsidR="00972FE3">
        <w:t xml:space="preserve">. </w:t>
      </w:r>
      <w:r w:rsidR="00D7188F">
        <w:t xml:space="preserve"> </w:t>
      </w:r>
      <w:r w:rsidR="00972FE3">
        <w:t>M</w:t>
      </w:r>
      <w:r w:rsidR="00D7188F">
        <w:t xml:space="preserve">ean Interceptor® G2 </w:t>
      </w:r>
      <w:proofErr w:type="spellStart"/>
      <w:r w:rsidR="00D7188F">
        <w:t>chlorfenapyr</w:t>
      </w:r>
      <w:proofErr w:type="spellEnd"/>
      <w:r w:rsidR="00D7188F">
        <w:t xml:space="preserve"> content</w:t>
      </w:r>
      <w:r w:rsidR="00972FE3">
        <w:t>, which was at the low end of the manufacturer’s acceptable range at baseline,</w:t>
      </w:r>
      <w:r w:rsidR="00D7188F">
        <w:t xml:space="preserve"> decreased by 68% against the manufacturer target dose after 36-months of field use. Observed </w:t>
      </w:r>
      <w:proofErr w:type="spellStart"/>
      <w:r w:rsidR="00D7188F">
        <w:t>PermaNet</w:t>
      </w:r>
      <w:proofErr w:type="spellEnd"/>
      <w:r w:rsidR="00D7188F">
        <w:t xml:space="preserve">® 3.0 mortality and chemical content reduction trends aligned </w:t>
      </w:r>
      <w:r w:rsidR="00D7188F">
        <w:lastRenderedPageBreak/>
        <w:t xml:space="preserve">with those of PMI </w:t>
      </w:r>
      <w:proofErr w:type="spellStart"/>
      <w:r w:rsidR="00D7188F">
        <w:t>VectorLink’s</w:t>
      </w:r>
      <w:proofErr w:type="spellEnd"/>
      <w:r w:rsidR="00D7188F">
        <w:t xml:space="preserve"> durability monitoring study in Burkina Faso</w:t>
      </w:r>
      <w:r w:rsidR="00D7188F">
        <w:rPr>
          <w:rStyle w:val="FootnoteReference"/>
        </w:rPr>
        <w:footnoteReference w:id="7"/>
      </w:r>
      <w:r w:rsidR="00D7188F">
        <w:t>, Rwanda</w:t>
      </w:r>
      <w:r w:rsidR="00D7188F">
        <w:rPr>
          <w:rStyle w:val="FootnoteReference"/>
        </w:rPr>
        <w:footnoteReference w:id="8"/>
      </w:r>
      <w:r w:rsidR="00D7188F">
        <w:t>, and Sierra Leone</w:t>
      </w:r>
      <w:r w:rsidR="00D7188F">
        <w:rPr>
          <w:rStyle w:val="FootnoteReference"/>
        </w:rPr>
        <w:footnoteReference w:id="9"/>
      </w:r>
      <w:r w:rsidR="00D7188F" w:rsidRPr="000553E7">
        <w:t>.</w:t>
      </w:r>
      <w:r w:rsidR="00D7188F">
        <w:t xml:space="preserve"> Interceptor® G2 </w:t>
      </w:r>
      <w:r w:rsidR="00D7188F" w:rsidRPr="006948D3">
        <w:t xml:space="preserve">BFI </w:t>
      </w:r>
      <w:r w:rsidR="00D7188F">
        <w:t xml:space="preserve">results from this assessment were </w:t>
      </w:r>
      <w:proofErr w:type="gramStart"/>
      <w:r w:rsidR="00D7188F">
        <w:t>similar to</w:t>
      </w:r>
      <w:proofErr w:type="gramEnd"/>
      <w:r w:rsidR="00D7188F">
        <w:t xml:space="preserve"> those seen in a Benin DM study</w:t>
      </w:r>
      <w:r w:rsidR="00D7188F">
        <w:rPr>
          <w:rStyle w:val="FootnoteReference"/>
        </w:rPr>
        <w:footnoteReference w:id="10"/>
      </w:r>
      <w:r w:rsidR="00D7188F">
        <w:t>.</w:t>
      </w:r>
      <w:r w:rsidR="00931613">
        <w:t xml:space="preserve">  </w:t>
      </w:r>
      <w:r w:rsidR="00272B8C">
        <w:t xml:space="preserve">  </w:t>
      </w:r>
    </w:p>
    <w:p w14:paraId="448485D5" w14:textId="6CB458B7" w:rsidR="00945BCD" w:rsidRPr="005139D2" w:rsidRDefault="005139D2" w:rsidP="00F43292">
      <w:pPr>
        <w:pStyle w:val="TableTitle"/>
        <w:rPr>
          <w:u w:color="808080"/>
        </w:rPr>
      </w:pPr>
      <w:r>
        <w:rPr>
          <w:u w:color="808080"/>
        </w:rPr>
        <w:t xml:space="preserve">Table 1: </w:t>
      </w:r>
      <w:r w:rsidRPr="00E438BD">
        <w:rPr>
          <w:u w:color="808080"/>
        </w:rPr>
        <w:t xml:space="preserve">Physical </w:t>
      </w:r>
      <w:r w:rsidRPr="00E438BD">
        <w:t>Durability</w:t>
      </w:r>
      <w:r w:rsidRPr="00E438BD">
        <w:rPr>
          <w:u w:color="808080"/>
        </w:rPr>
        <w:t xml:space="preserve"> &amp; Bioassay Analysis</w:t>
      </w:r>
    </w:p>
    <w:tbl>
      <w:tblPr>
        <w:tblW w:w="11308" w:type="dxa"/>
        <w:jc w:val="center"/>
        <w:tblLayout w:type="fixed"/>
        <w:tblCellMar>
          <w:left w:w="115" w:type="dxa"/>
          <w:right w:w="115" w:type="dxa"/>
        </w:tblCellMar>
        <w:tblLook w:val="0400" w:firstRow="0" w:lastRow="0" w:firstColumn="0" w:lastColumn="0" w:noHBand="0" w:noVBand="1"/>
      </w:tblPr>
      <w:tblGrid>
        <w:gridCol w:w="1888"/>
        <w:gridCol w:w="1172"/>
        <w:gridCol w:w="900"/>
        <w:gridCol w:w="1620"/>
        <w:gridCol w:w="1080"/>
        <w:gridCol w:w="810"/>
        <w:gridCol w:w="1710"/>
        <w:gridCol w:w="2128"/>
      </w:tblGrid>
      <w:tr w:rsidR="00B62A13" w14:paraId="67AFD72F" w14:textId="77777777" w:rsidTr="00C70E76">
        <w:trPr>
          <w:trHeight w:val="880"/>
          <w:jc w:val="center"/>
        </w:trPr>
        <w:tc>
          <w:tcPr>
            <w:tcW w:w="1888" w:type="dxa"/>
            <w:vMerge w:val="restart"/>
            <w:tcBorders>
              <w:top w:val="single" w:sz="8" w:space="0" w:color="000000" w:themeColor="text1"/>
              <w:left w:val="nil"/>
              <w:bottom w:val="single" w:sz="8" w:space="0" w:color="000000" w:themeColor="text1"/>
              <w:right w:val="single" w:sz="8" w:space="0" w:color="000000" w:themeColor="text1"/>
            </w:tcBorders>
            <w:shd w:val="clear" w:color="auto" w:fill="0067B9"/>
            <w:vAlign w:val="center"/>
          </w:tcPr>
          <w:p w14:paraId="3AD00076" w14:textId="77777777" w:rsidR="00B62A13" w:rsidRDefault="00B62A13">
            <w:pPr>
              <w:pStyle w:val="TableHeader"/>
              <w:rPr>
                <w:color w:val="FFFFFF"/>
              </w:rPr>
            </w:pPr>
          </w:p>
          <w:p w14:paraId="58AE70A7" w14:textId="77777777" w:rsidR="00B62A13" w:rsidRDefault="00B62A13">
            <w:pPr>
              <w:pStyle w:val="TableHeader"/>
              <w:rPr>
                <w:color w:val="FFFFFF"/>
              </w:rPr>
            </w:pPr>
            <w:r>
              <w:rPr>
                <w:color w:val="FFFFFF"/>
              </w:rPr>
              <w:t>Site</w:t>
            </w:r>
          </w:p>
        </w:tc>
        <w:tc>
          <w:tcPr>
            <w:tcW w:w="117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7B9"/>
            <w:vAlign w:val="center"/>
          </w:tcPr>
          <w:p w14:paraId="3724A2F1" w14:textId="77777777" w:rsidR="00B62A13" w:rsidRDefault="00B62A13">
            <w:pPr>
              <w:pStyle w:val="TableHeader"/>
              <w:rPr>
                <w:color w:val="FFFFFF"/>
              </w:rPr>
            </w:pPr>
            <w:r>
              <w:rPr>
                <w:color w:val="FFFFFF"/>
              </w:rPr>
              <w:t>Survey round and time since distribution (months)</w:t>
            </w:r>
          </w:p>
        </w:tc>
        <w:tc>
          <w:tcPr>
            <w:tcW w:w="90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7B9"/>
            <w:vAlign w:val="center"/>
          </w:tcPr>
          <w:p w14:paraId="138BBD16" w14:textId="77777777" w:rsidR="00B62A13" w:rsidRDefault="00B62A13">
            <w:pPr>
              <w:pStyle w:val="TableHeader"/>
              <w:rPr>
                <w:color w:val="FFFFFF"/>
              </w:rPr>
            </w:pPr>
            <w:r>
              <w:rPr>
                <w:color w:val="FFFFFF"/>
              </w:rPr>
              <w:t xml:space="preserve">Attrition wear and tear </w:t>
            </w:r>
          </w:p>
          <w:p w14:paraId="72E1BE0B" w14:textId="77777777" w:rsidR="00B62A13" w:rsidRDefault="00B62A13">
            <w:pPr>
              <w:pStyle w:val="TableHeader"/>
              <w:rPr>
                <w:color w:val="FFFFFF"/>
              </w:rPr>
            </w:pPr>
            <w:r>
              <w:rPr>
                <w:color w:val="FFFFFF"/>
              </w:rPr>
              <w:t>(%)</w:t>
            </w:r>
          </w:p>
        </w:tc>
        <w:tc>
          <w:tcPr>
            <w:tcW w:w="1620" w:type="dxa"/>
            <w:tcBorders>
              <w:top w:val="single" w:sz="8" w:space="0" w:color="000000" w:themeColor="text1"/>
              <w:left w:val="nil"/>
              <w:bottom w:val="nil"/>
              <w:right w:val="single" w:sz="8" w:space="0" w:color="000000" w:themeColor="text1"/>
            </w:tcBorders>
            <w:shd w:val="clear" w:color="auto" w:fill="0067B9"/>
            <w:vAlign w:val="center"/>
          </w:tcPr>
          <w:p w14:paraId="5944B005" w14:textId="77777777" w:rsidR="00B62A13" w:rsidRDefault="00B62A13">
            <w:pPr>
              <w:pStyle w:val="TableHeader"/>
              <w:rPr>
                <w:color w:val="FFFFFF"/>
              </w:rPr>
            </w:pPr>
            <w:r>
              <w:rPr>
                <w:color w:val="FFFFFF"/>
              </w:rPr>
              <w:t xml:space="preserve">Remaining nets in serviceable condition </w:t>
            </w:r>
          </w:p>
        </w:tc>
        <w:tc>
          <w:tcPr>
            <w:tcW w:w="1890" w:type="dxa"/>
            <w:gridSpan w:val="2"/>
            <w:tcBorders>
              <w:top w:val="single" w:sz="8" w:space="0" w:color="000000" w:themeColor="text1"/>
              <w:left w:val="nil"/>
              <w:bottom w:val="single" w:sz="8" w:space="0" w:color="000000" w:themeColor="text1"/>
              <w:right w:val="single" w:sz="8" w:space="0" w:color="000000" w:themeColor="text1"/>
            </w:tcBorders>
            <w:shd w:val="clear" w:color="auto" w:fill="0067B9"/>
            <w:vAlign w:val="center"/>
          </w:tcPr>
          <w:p w14:paraId="3B218BC1" w14:textId="77777777" w:rsidR="00B62A13" w:rsidRDefault="00B62A13">
            <w:pPr>
              <w:pStyle w:val="TableHeader"/>
              <w:rPr>
                <w:color w:val="FFFFFF"/>
              </w:rPr>
            </w:pPr>
            <w:r>
              <w:rPr>
                <w:color w:val="FFFFFF"/>
              </w:rPr>
              <w:t>Remaining nets hanging over sleeping space (%)</w:t>
            </w:r>
          </w:p>
        </w:tc>
        <w:tc>
          <w:tcPr>
            <w:tcW w:w="171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7B9"/>
            <w:vAlign w:val="center"/>
          </w:tcPr>
          <w:p w14:paraId="10FB4016" w14:textId="31BED412" w:rsidR="00B62A13" w:rsidRDefault="00B62A13">
            <w:pPr>
              <w:pStyle w:val="TableHeader"/>
              <w:rPr>
                <w:color w:val="FFFFFF"/>
              </w:rPr>
            </w:pPr>
            <w:r>
              <w:rPr>
                <w:color w:val="FFFFFF"/>
              </w:rPr>
              <w:t xml:space="preserve">24/72 – hour mortality </w:t>
            </w:r>
            <w:proofErr w:type="gramStart"/>
            <w:r>
              <w:rPr>
                <w:color w:val="FFFFFF"/>
              </w:rPr>
              <w:t>against  resistant</w:t>
            </w:r>
            <w:proofErr w:type="gramEnd"/>
            <w:r>
              <w:rPr>
                <w:color w:val="FFFFFF"/>
              </w:rPr>
              <w:t xml:space="preserve"> mosquito strain</w:t>
            </w:r>
            <w:r w:rsidRPr="00493790">
              <w:rPr>
                <w:color w:val="FFFFFF"/>
                <w:vertAlign w:val="superscript"/>
              </w:rPr>
              <w:t>β</w:t>
            </w:r>
          </w:p>
          <w:p w14:paraId="11D63EB9" w14:textId="77777777" w:rsidR="00B62A13" w:rsidRDefault="00B62A13">
            <w:pPr>
              <w:pStyle w:val="TableHeader"/>
              <w:rPr>
                <w:color w:val="FFFFFF"/>
              </w:rPr>
            </w:pPr>
            <w:r>
              <w:rPr>
                <w:color w:val="FFFFFF"/>
              </w:rPr>
              <w:t>% (95% CI)</w:t>
            </w:r>
          </w:p>
        </w:tc>
        <w:tc>
          <w:tcPr>
            <w:tcW w:w="2128" w:type="dxa"/>
            <w:tcBorders>
              <w:top w:val="single" w:sz="8" w:space="0" w:color="000000" w:themeColor="text1"/>
              <w:left w:val="nil"/>
              <w:bottom w:val="nil"/>
              <w:right w:val="nil"/>
            </w:tcBorders>
            <w:shd w:val="clear" w:color="auto" w:fill="0067B9"/>
            <w:vAlign w:val="center"/>
          </w:tcPr>
          <w:p w14:paraId="6330F18F" w14:textId="50A0415A" w:rsidR="00B62A13" w:rsidRDefault="00000000">
            <w:pPr>
              <w:pStyle w:val="TableHeader"/>
              <w:rPr>
                <w:color w:val="FFFFFF"/>
              </w:rPr>
            </w:pPr>
            <w:sdt>
              <w:sdtPr>
                <w:tag w:val="goog_rdk_8"/>
                <w:id w:val="-382407114"/>
                <w:showingPlcHdr/>
              </w:sdtPr>
              <w:sdtContent>
                <w:r w:rsidR="00804EA3">
                  <w:t xml:space="preserve">     </w:t>
                </w:r>
              </w:sdtContent>
            </w:sdt>
            <w:r w:rsidR="00B62A13">
              <w:rPr>
                <w:color w:val="FFFFFF"/>
              </w:rPr>
              <w:t>Chemical content</w:t>
            </w:r>
            <w:r w:rsidR="00B62A13" w:rsidRPr="00493790">
              <w:rPr>
                <w:color w:val="FFFFFF"/>
                <w:vertAlign w:val="superscript"/>
              </w:rPr>
              <w:t>β</w:t>
            </w:r>
            <w:r w:rsidR="00B62A13">
              <w:rPr>
                <w:rStyle w:val="CommentReference"/>
                <w:b w:val="0"/>
                <w:bCs w:val="0"/>
                <w:color w:val="auto"/>
              </w:rPr>
              <w:t xml:space="preserve"> </w:t>
            </w:r>
          </w:p>
        </w:tc>
      </w:tr>
      <w:tr w:rsidR="00B62A13" w14:paraId="4A2665AC" w14:textId="77777777" w:rsidTr="00C70E76">
        <w:trPr>
          <w:trHeight w:val="1114"/>
          <w:jc w:val="center"/>
        </w:trPr>
        <w:tc>
          <w:tcPr>
            <w:tcW w:w="1888" w:type="dxa"/>
            <w:vMerge/>
            <w:vAlign w:val="center"/>
          </w:tcPr>
          <w:p w14:paraId="5FDF16EA" w14:textId="77777777" w:rsidR="00B62A13" w:rsidRDefault="00B62A13">
            <w:pPr>
              <w:pStyle w:val="TableHeader"/>
              <w:rPr>
                <w:color w:val="FFFFFF"/>
              </w:rPr>
            </w:pPr>
          </w:p>
        </w:tc>
        <w:tc>
          <w:tcPr>
            <w:tcW w:w="1172" w:type="dxa"/>
            <w:vMerge/>
            <w:vAlign w:val="center"/>
          </w:tcPr>
          <w:p w14:paraId="0C7EFDFB" w14:textId="77777777" w:rsidR="00B62A13" w:rsidRDefault="00B62A13">
            <w:pPr>
              <w:pStyle w:val="TableHeader"/>
              <w:rPr>
                <w:color w:val="FFFFFF"/>
              </w:rPr>
            </w:pPr>
          </w:p>
        </w:tc>
        <w:tc>
          <w:tcPr>
            <w:tcW w:w="900" w:type="dxa"/>
            <w:vMerge/>
            <w:vAlign w:val="center"/>
          </w:tcPr>
          <w:p w14:paraId="7EE23A08" w14:textId="77777777" w:rsidR="00B62A13" w:rsidRDefault="00B62A13">
            <w:pPr>
              <w:pStyle w:val="TableHeader"/>
              <w:rPr>
                <w:color w:val="FFFFFF"/>
              </w:rPr>
            </w:pPr>
          </w:p>
        </w:tc>
        <w:tc>
          <w:tcPr>
            <w:tcW w:w="1620" w:type="dxa"/>
            <w:tcBorders>
              <w:top w:val="nil"/>
              <w:left w:val="nil"/>
              <w:bottom w:val="single" w:sz="8" w:space="0" w:color="000000" w:themeColor="text1"/>
              <w:right w:val="single" w:sz="8" w:space="0" w:color="000000" w:themeColor="text1"/>
            </w:tcBorders>
            <w:shd w:val="clear" w:color="auto" w:fill="0067B9"/>
            <w:vAlign w:val="center"/>
          </w:tcPr>
          <w:p w14:paraId="47D9396B" w14:textId="77777777" w:rsidR="00B62A13" w:rsidRDefault="00B62A13">
            <w:pPr>
              <w:pStyle w:val="TableHeader"/>
              <w:rPr>
                <w:color w:val="FFFFFF"/>
              </w:rPr>
            </w:pPr>
            <w:r>
              <w:rPr>
                <w:color w:val="FFFFFF"/>
              </w:rPr>
              <w:t>%(N)</w:t>
            </w:r>
          </w:p>
        </w:tc>
        <w:tc>
          <w:tcPr>
            <w:tcW w:w="1080" w:type="dxa"/>
            <w:tcBorders>
              <w:top w:val="nil"/>
              <w:left w:val="nil"/>
              <w:bottom w:val="single" w:sz="8" w:space="0" w:color="000000" w:themeColor="text1"/>
              <w:right w:val="single" w:sz="8" w:space="0" w:color="000000" w:themeColor="text1"/>
            </w:tcBorders>
            <w:shd w:val="clear" w:color="auto" w:fill="0067B9"/>
            <w:vAlign w:val="center"/>
          </w:tcPr>
          <w:p w14:paraId="737CA917" w14:textId="77777777" w:rsidR="00B62A13" w:rsidRDefault="00B62A13">
            <w:pPr>
              <w:pStyle w:val="TableHeader"/>
              <w:rPr>
                <w:color w:val="FFFFFF"/>
              </w:rPr>
            </w:pPr>
            <w:r>
              <w:rPr>
                <w:color w:val="FFFFFF"/>
              </w:rPr>
              <w:t>Campaign</w:t>
            </w:r>
          </w:p>
        </w:tc>
        <w:tc>
          <w:tcPr>
            <w:tcW w:w="810" w:type="dxa"/>
            <w:tcBorders>
              <w:top w:val="nil"/>
              <w:left w:val="nil"/>
              <w:bottom w:val="single" w:sz="8" w:space="0" w:color="000000" w:themeColor="text1"/>
              <w:right w:val="single" w:sz="8" w:space="0" w:color="000000" w:themeColor="text1"/>
            </w:tcBorders>
            <w:shd w:val="clear" w:color="auto" w:fill="0067B9"/>
            <w:vAlign w:val="center"/>
          </w:tcPr>
          <w:p w14:paraId="106FD4CA" w14:textId="77777777" w:rsidR="00B62A13" w:rsidRDefault="00B62A13">
            <w:pPr>
              <w:pStyle w:val="TableHeader"/>
              <w:rPr>
                <w:color w:val="FFFFFF"/>
              </w:rPr>
            </w:pPr>
            <w:r>
              <w:rPr>
                <w:color w:val="FFFFFF"/>
              </w:rPr>
              <w:t>Other</w:t>
            </w:r>
          </w:p>
        </w:tc>
        <w:tc>
          <w:tcPr>
            <w:tcW w:w="1710" w:type="dxa"/>
            <w:vMerge/>
            <w:vAlign w:val="center"/>
          </w:tcPr>
          <w:p w14:paraId="2D42FF8F" w14:textId="77777777" w:rsidR="00B62A13" w:rsidRDefault="00B62A13">
            <w:pPr>
              <w:pStyle w:val="TableHeader"/>
              <w:rPr>
                <w:color w:val="FFFFFF"/>
              </w:rPr>
            </w:pPr>
          </w:p>
        </w:tc>
        <w:tc>
          <w:tcPr>
            <w:tcW w:w="2128" w:type="dxa"/>
            <w:tcBorders>
              <w:top w:val="nil"/>
              <w:left w:val="nil"/>
              <w:bottom w:val="single" w:sz="8" w:space="0" w:color="000000" w:themeColor="text1"/>
              <w:right w:val="nil"/>
            </w:tcBorders>
            <w:shd w:val="clear" w:color="auto" w:fill="0067B9"/>
            <w:vAlign w:val="center"/>
          </w:tcPr>
          <w:p w14:paraId="7E52D0EF" w14:textId="77777777" w:rsidR="00B62A13" w:rsidRDefault="00B62A13">
            <w:pPr>
              <w:pStyle w:val="TableHeader"/>
              <w:rPr>
                <w:color w:val="FFFFFF"/>
              </w:rPr>
            </w:pPr>
            <w:r>
              <w:rPr>
                <w:color w:val="FFFFFF"/>
              </w:rPr>
              <w:t>N (95% CI)</w:t>
            </w:r>
          </w:p>
        </w:tc>
      </w:tr>
      <w:tr w:rsidR="00B62A13" w:rsidRPr="00B6770E" w14:paraId="0FE4790B" w14:textId="77777777" w:rsidTr="00C70E76">
        <w:trPr>
          <w:trHeight w:val="300"/>
          <w:jc w:val="center"/>
        </w:trPr>
        <w:tc>
          <w:tcPr>
            <w:tcW w:w="1888" w:type="dxa"/>
            <w:vMerge w:val="restart"/>
            <w:tcBorders>
              <w:top w:val="nil"/>
              <w:left w:val="nil"/>
              <w:right w:val="single" w:sz="8" w:space="0" w:color="000000" w:themeColor="text1"/>
            </w:tcBorders>
            <w:shd w:val="clear" w:color="auto" w:fill="auto"/>
          </w:tcPr>
          <w:p w14:paraId="3E175346" w14:textId="77777777" w:rsidR="00B62A13" w:rsidRPr="00B6770E" w:rsidRDefault="00B62A13">
            <w:pPr>
              <w:pStyle w:val="1-BodyText"/>
            </w:pPr>
            <w:proofErr w:type="spellStart"/>
            <w:r w:rsidRPr="00B6770E">
              <w:t>Abengourou</w:t>
            </w:r>
            <w:proofErr w:type="spellEnd"/>
          </w:p>
          <w:p w14:paraId="1FE26B77" w14:textId="77777777" w:rsidR="00B62A13" w:rsidRPr="00B6770E" w:rsidRDefault="00B62A13">
            <w:pPr>
              <w:pStyle w:val="1-BodyText"/>
            </w:pPr>
            <w:r w:rsidRPr="00B6770E">
              <w:t>(</w:t>
            </w:r>
            <w:proofErr w:type="spellStart"/>
            <w:r w:rsidRPr="00B6770E">
              <w:t>PermaNet</w:t>
            </w:r>
            <w:proofErr w:type="spellEnd"/>
            <w:r w:rsidRPr="00B6770E">
              <w:t>® 3.0)</w:t>
            </w:r>
          </w:p>
          <w:p w14:paraId="4C416F33" w14:textId="77777777" w:rsidR="00B62A13" w:rsidRPr="00B6770E" w:rsidRDefault="00B62A13">
            <w:pPr>
              <w:pStyle w:val="1-BodyText"/>
            </w:pPr>
            <w:r w:rsidRPr="00B6770E">
              <w:t> </w:t>
            </w:r>
          </w:p>
        </w:tc>
        <w:tc>
          <w:tcPr>
            <w:tcW w:w="1172" w:type="dxa"/>
            <w:tcBorders>
              <w:top w:val="nil"/>
              <w:left w:val="nil"/>
              <w:bottom w:val="dotted" w:sz="4" w:space="0" w:color="000000" w:themeColor="text1"/>
              <w:right w:val="single" w:sz="8" w:space="0" w:color="000000" w:themeColor="text1"/>
            </w:tcBorders>
            <w:shd w:val="clear" w:color="auto" w:fill="auto"/>
            <w:vAlign w:val="center"/>
          </w:tcPr>
          <w:p w14:paraId="0553CF7F" w14:textId="77777777" w:rsidR="00B62A13" w:rsidRPr="00B6770E" w:rsidRDefault="00B62A13">
            <w:pPr>
              <w:pStyle w:val="1-BodyText"/>
            </w:pPr>
            <w:r w:rsidRPr="00B6770E">
              <w:t>Baseline (5.6)</w:t>
            </w:r>
          </w:p>
        </w:tc>
        <w:tc>
          <w:tcPr>
            <w:tcW w:w="900" w:type="dxa"/>
            <w:tcBorders>
              <w:top w:val="nil"/>
              <w:left w:val="nil"/>
              <w:bottom w:val="dotted" w:sz="4" w:space="0" w:color="000000" w:themeColor="text1"/>
              <w:right w:val="single" w:sz="8" w:space="0" w:color="000000" w:themeColor="text1"/>
            </w:tcBorders>
            <w:shd w:val="clear" w:color="auto" w:fill="auto"/>
            <w:vAlign w:val="center"/>
          </w:tcPr>
          <w:p w14:paraId="7B4BF80D" w14:textId="77777777" w:rsidR="00B62A13" w:rsidRPr="00B6770E" w:rsidRDefault="00B62A13">
            <w:pPr>
              <w:pStyle w:val="1-BodyText"/>
            </w:pPr>
            <w:r w:rsidRPr="00B6770E">
              <w:t>0.0%</w:t>
            </w:r>
          </w:p>
        </w:tc>
        <w:tc>
          <w:tcPr>
            <w:tcW w:w="1620" w:type="dxa"/>
            <w:tcBorders>
              <w:top w:val="nil"/>
              <w:left w:val="nil"/>
              <w:bottom w:val="dotted" w:sz="4" w:space="0" w:color="000000" w:themeColor="text1"/>
              <w:right w:val="single" w:sz="8" w:space="0" w:color="000000" w:themeColor="text1"/>
            </w:tcBorders>
            <w:shd w:val="clear" w:color="auto" w:fill="auto"/>
            <w:vAlign w:val="center"/>
          </w:tcPr>
          <w:p w14:paraId="2C77FE6A" w14:textId="77777777" w:rsidR="00B62A13" w:rsidRPr="00B6770E" w:rsidRDefault="00B62A13">
            <w:pPr>
              <w:pStyle w:val="1-BodyText"/>
            </w:pPr>
            <w:r w:rsidRPr="00B6770E">
              <w:t>99.6% (N=258)</w:t>
            </w:r>
          </w:p>
        </w:tc>
        <w:tc>
          <w:tcPr>
            <w:tcW w:w="1080" w:type="dxa"/>
            <w:tcBorders>
              <w:top w:val="nil"/>
              <w:left w:val="nil"/>
              <w:bottom w:val="dotted" w:sz="4" w:space="0" w:color="000000" w:themeColor="text1"/>
              <w:right w:val="single" w:sz="8" w:space="0" w:color="000000" w:themeColor="text1"/>
            </w:tcBorders>
            <w:shd w:val="clear" w:color="auto" w:fill="auto"/>
            <w:vAlign w:val="center"/>
          </w:tcPr>
          <w:p w14:paraId="1267ED5F" w14:textId="77777777" w:rsidR="00B62A13" w:rsidRPr="00B6770E" w:rsidRDefault="00B62A13">
            <w:pPr>
              <w:pStyle w:val="1-BodyText"/>
            </w:pPr>
            <w:r w:rsidRPr="00B6770E">
              <w:t>29.1%</w:t>
            </w:r>
          </w:p>
        </w:tc>
        <w:tc>
          <w:tcPr>
            <w:tcW w:w="810" w:type="dxa"/>
            <w:tcBorders>
              <w:top w:val="nil"/>
              <w:left w:val="nil"/>
              <w:bottom w:val="dotted" w:sz="4" w:space="0" w:color="000000" w:themeColor="text1"/>
              <w:right w:val="single" w:sz="8" w:space="0" w:color="000000" w:themeColor="text1"/>
            </w:tcBorders>
            <w:shd w:val="clear" w:color="auto" w:fill="auto"/>
            <w:vAlign w:val="center"/>
          </w:tcPr>
          <w:p w14:paraId="380A0637" w14:textId="77777777" w:rsidR="00B62A13" w:rsidRPr="00B6770E" w:rsidRDefault="00B62A13">
            <w:pPr>
              <w:pStyle w:val="1-BodyText"/>
            </w:pPr>
            <w:r w:rsidRPr="00B6770E">
              <w:t>55.5%</w:t>
            </w:r>
          </w:p>
        </w:tc>
        <w:tc>
          <w:tcPr>
            <w:tcW w:w="1710" w:type="dxa"/>
            <w:tcBorders>
              <w:top w:val="nil"/>
              <w:left w:val="nil"/>
              <w:bottom w:val="dotted" w:sz="4" w:space="0" w:color="000000" w:themeColor="text1"/>
              <w:right w:val="single" w:sz="8" w:space="0" w:color="000000" w:themeColor="text1"/>
            </w:tcBorders>
            <w:shd w:val="clear" w:color="auto" w:fill="auto"/>
            <w:vAlign w:val="center"/>
          </w:tcPr>
          <w:p w14:paraId="739D485D" w14:textId="77777777" w:rsidR="00B62A13" w:rsidRPr="00B6770E" w:rsidRDefault="00B62A13">
            <w:pPr>
              <w:pStyle w:val="1-BodyText"/>
            </w:pPr>
            <w:r w:rsidRPr="00B6770E">
              <w:t>52.3</w:t>
            </w:r>
            <w:r w:rsidRPr="00A66758">
              <w:rPr>
                <w:vertAlign w:val="superscript"/>
              </w:rPr>
              <w:t>a</w:t>
            </w:r>
            <w:r w:rsidRPr="00B6770E">
              <w:t xml:space="preserve"> (35.6-69.1)</w:t>
            </w:r>
          </w:p>
        </w:tc>
        <w:tc>
          <w:tcPr>
            <w:tcW w:w="2128" w:type="dxa"/>
            <w:tcBorders>
              <w:top w:val="nil"/>
              <w:left w:val="nil"/>
              <w:bottom w:val="dotted" w:sz="4" w:space="0" w:color="000000" w:themeColor="text1"/>
            </w:tcBorders>
            <w:shd w:val="clear" w:color="auto" w:fill="auto"/>
          </w:tcPr>
          <w:p w14:paraId="73EE1690" w14:textId="77777777" w:rsidR="00B62A13" w:rsidRPr="00B6770E" w:rsidRDefault="00B62A13">
            <w:pPr>
              <w:pStyle w:val="1-BodyText"/>
            </w:pPr>
            <w:r w:rsidRPr="00B6770E">
              <w:t>14.91 (13.55-16.</w:t>
            </w:r>
            <w:proofErr w:type="gramStart"/>
            <w:r w:rsidRPr="00B6770E">
              <w:t>26)</w:t>
            </w:r>
            <w:r w:rsidRPr="00E02E9A">
              <w:rPr>
                <w:vertAlign w:val="superscript"/>
              </w:rPr>
              <w:t>c</w:t>
            </w:r>
            <w:proofErr w:type="gramEnd"/>
          </w:p>
        </w:tc>
      </w:tr>
      <w:tr w:rsidR="00B62A13" w:rsidRPr="00B6770E" w14:paraId="7B4195EF" w14:textId="77777777" w:rsidTr="00C70E76">
        <w:trPr>
          <w:trHeight w:val="300"/>
          <w:jc w:val="center"/>
        </w:trPr>
        <w:tc>
          <w:tcPr>
            <w:tcW w:w="1888" w:type="dxa"/>
            <w:vMerge/>
            <w:tcBorders>
              <w:left w:val="nil"/>
              <w:right w:val="single" w:sz="8" w:space="0" w:color="000000" w:themeColor="text1"/>
            </w:tcBorders>
            <w:shd w:val="clear" w:color="auto" w:fill="auto"/>
            <w:vAlign w:val="center"/>
          </w:tcPr>
          <w:p w14:paraId="4B044FAC" w14:textId="77777777" w:rsidR="00B62A13" w:rsidRPr="00B6770E" w:rsidRDefault="00B62A13">
            <w:pPr>
              <w:pStyle w:val="1-BodyText"/>
            </w:pPr>
          </w:p>
        </w:tc>
        <w:tc>
          <w:tcPr>
            <w:tcW w:w="1172" w:type="dxa"/>
            <w:tcBorders>
              <w:top w:val="nil"/>
              <w:left w:val="nil"/>
              <w:bottom w:val="dotted" w:sz="4" w:space="0" w:color="000000" w:themeColor="text1"/>
              <w:right w:val="single" w:sz="8" w:space="0" w:color="000000" w:themeColor="text1"/>
            </w:tcBorders>
            <w:shd w:val="clear" w:color="auto" w:fill="auto"/>
            <w:vAlign w:val="center"/>
          </w:tcPr>
          <w:p w14:paraId="7F71478E" w14:textId="77777777" w:rsidR="00B62A13" w:rsidRPr="00B6770E" w:rsidRDefault="00B62A13">
            <w:pPr>
              <w:pStyle w:val="1-BodyText"/>
            </w:pPr>
            <w:r w:rsidRPr="00B6770E">
              <w:t>12m (11.3)</w:t>
            </w:r>
          </w:p>
        </w:tc>
        <w:tc>
          <w:tcPr>
            <w:tcW w:w="900" w:type="dxa"/>
            <w:tcBorders>
              <w:top w:val="nil"/>
              <w:left w:val="nil"/>
              <w:bottom w:val="dotted" w:sz="4" w:space="0" w:color="000000" w:themeColor="text1"/>
              <w:right w:val="single" w:sz="8" w:space="0" w:color="000000" w:themeColor="text1"/>
            </w:tcBorders>
            <w:shd w:val="clear" w:color="auto" w:fill="auto"/>
            <w:vAlign w:val="center"/>
          </w:tcPr>
          <w:p w14:paraId="37D31D21" w14:textId="77777777" w:rsidR="00B62A13" w:rsidRPr="00B6770E" w:rsidRDefault="00B62A13">
            <w:pPr>
              <w:pStyle w:val="1-BodyText"/>
            </w:pPr>
            <w:r w:rsidRPr="00B6770E">
              <w:t>1.5%</w:t>
            </w:r>
          </w:p>
        </w:tc>
        <w:tc>
          <w:tcPr>
            <w:tcW w:w="1620" w:type="dxa"/>
            <w:tcBorders>
              <w:top w:val="nil"/>
              <w:left w:val="nil"/>
              <w:bottom w:val="dotted" w:sz="4" w:space="0" w:color="000000" w:themeColor="text1"/>
              <w:right w:val="single" w:sz="8" w:space="0" w:color="000000" w:themeColor="text1"/>
            </w:tcBorders>
            <w:shd w:val="clear" w:color="auto" w:fill="auto"/>
            <w:vAlign w:val="center"/>
          </w:tcPr>
          <w:p w14:paraId="39114F49" w14:textId="77777777" w:rsidR="00B62A13" w:rsidRPr="00B6770E" w:rsidRDefault="00B62A13">
            <w:pPr>
              <w:pStyle w:val="1-BodyText"/>
            </w:pPr>
            <w:r w:rsidRPr="00B6770E">
              <w:t>98.0% (N=245)</w:t>
            </w:r>
          </w:p>
        </w:tc>
        <w:tc>
          <w:tcPr>
            <w:tcW w:w="1080" w:type="dxa"/>
            <w:tcBorders>
              <w:top w:val="nil"/>
              <w:left w:val="nil"/>
              <w:bottom w:val="dotted" w:sz="4" w:space="0" w:color="000000" w:themeColor="text1"/>
              <w:right w:val="single" w:sz="8" w:space="0" w:color="000000" w:themeColor="text1"/>
            </w:tcBorders>
            <w:shd w:val="clear" w:color="auto" w:fill="auto"/>
            <w:vAlign w:val="center"/>
          </w:tcPr>
          <w:p w14:paraId="681B6441" w14:textId="77777777" w:rsidR="00B62A13" w:rsidRPr="00B6770E" w:rsidRDefault="00B62A13">
            <w:pPr>
              <w:pStyle w:val="1-BodyText"/>
            </w:pPr>
            <w:r w:rsidRPr="00B6770E">
              <w:t>44.7%</w:t>
            </w:r>
          </w:p>
        </w:tc>
        <w:tc>
          <w:tcPr>
            <w:tcW w:w="810" w:type="dxa"/>
            <w:tcBorders>
              <w:top w:val="nil"/>
              <w:left w:val="nil"/>
              <w:bottom w:val="dotted" w:sz="4" w:space="0" w:color="000000" w:themeColor="text1"/>
              <w:right w:val="single" w:sz="8" w:space="0" w:color="000000" w:themeColor="text1"/>
            </w:tcBorders>
            <w:shd w:val="clear" w:color="auto" w:fill="auto"/>
            <w:vAlign w:val="center"/>
          </w:tcPr>
          <w:p w14:paraId="7DE20F6A" w14:textId="77777777" w:rsidR="00B62A13" w:rsidRPr="00B6770E" w:rsidRDefault="00B62A13">
            <w:pPr>
              <w:pStyle w:val="1-BodyText"/>
            </w:pPr>
            <w:r w:rsidRPr="00B6770E">
              <w:t>83.3%</w:t>
            </w:r>
          </w:p>
        </w:tc>
        <w:tc>
          <w:tcPr>
            <w:tcW w:w="1710" w:type="dxa"/>
            <w:tcBorders>
              <w:top w:val="nil"/>
              <w:left w:val="nil"/>
              <w:bottom w:val="dotted" w:sz="4" w:space="0" w:color="000000" w:themeColor="text1"/>
              <w:right w:val="single" w:sz="8" w:space="0" w:color="000000" w:themeColor="text1"/>
            </w:tcBorders>
            <w:shd w:val="clear" w:color="auto" w:fill="auto"/>
            <w:vAlign w:val="center"/>
          </w:tcPr>
          <w:p w14:paraId="647654BC" w14:textId="77777777" w:rsidR="00B62A13" w:rsidRPr="00B6770E" w:rsidRDefault="00B62A13">
            <w:pPr>
              <w:pStyle w:val="1-BodyText"/>
            </w:pPr>
            <w:r w:rsidRPr="00B6770E">
              <w:t>54.0</w:t>
            </w:r>
            <w:r w:rsidRPr="00A66758">
              <w:rPr>
                <w:vertAlign w:val="superscript"/>
              </w:rPr>
              <w:t>a</w:t>
            </w:r>
            <w:r w:rsidRPr="00B6770E">
              <w:t xml:space="preserve"> (38.8-69.2)</w:t>
            </w:r>
          </w:p>
        </w:tc>
        <w:tc>
          <w:tcPr>
            <w:tcW w:w="2128" w:type="dxa"/>
            <w:tcBorders>
              <w:top w:val="nil"/>
              <w:left w:val="nil"/>
              <w:bottom w:val="dotted" w:sz="4" w:space="0" w:color="000000" w:themeColor="text1"/>
            </w:tcBorders>
            <w:shd w:val="clear" w:color="auto" w:fill="auto"/>
          </w:tcPr>
          <w:p w14:paraId="2A9D9A9F" w14:textId="77777777" w:rsidR="00B62A13" w:rsidRPr="00B6770E" w:rsidRDefault="00B62A13">
            <w:pPr>
              <w:pStyle w:val="1-BodyText"/>
            </w:pPr>
            <w:r w:rsidRPr="00B6770E">
              <w:t>12.03 (11.09-12.</w:t>
            </w:r>
            <w:proofErr w:type="gramStart"/>
            <w:r w:rsidRPr="00B6770E">
              <w:t>97)</w:t>
            </w:r>
            <w:r w:rsidRPr="006A33E0">
              <w:rPr>
                <w:vertAlign w:val="superscript"/>
              </w:rPr>
              <w:t>c</w:t>
            </w:r>
            <w:proofErr w:type="gramEnd"/>
          </w:p>
        </w:tc>
      </w:tr>
      <w:tr w:rsidR="00B62A13" w:rsidRPr="00B6770E" w14:paraId="6CF0F6DF" w14:textId="77777777" w:rsidTr="00C70E76">
        <w:trPr>
          <w:trHeight w:val="300"/>
          <w:jc w:val="center"/>
        </w:trPr>
        <w:tc>
          <w:tcPr>
            <w:tcW w:w="1888" w:type="dxa"/>
            <w:vMerge/>
            <w:tcBorders>
              <w:left w:val="nil"/>
              <w:right w:val="single" w:sz="8" w:space="0" w:color="000000" w:themeColor="text1"/>
            </w:tcBorders>
            <w:shd w:val="clear" w:color="auto" w:fill="auto"/>
            <w:vAlign w:val="center"/>
          </w:tcPr>
          <w:p w14:paraId="1E21D94D" w14:textId="77777777" w:rsidR="00B62A13" w:rsidRPr="00B6770E" w:rsidRDefault="00B62A13">
            <w:pPr>
              <w:pStyle w:val="1-BodyText"/>
            </w:pPr>
          </w:p>
        </w:tc>
        <w:tc>
          <w:tcPr>
            <w:tcW w:w="1172" w:type="dxa"/>
            <w:tcBorders>
              <w:top w:val="nil"/>
              <w:left w:val="nil"/>
              <w:bottom w:val="dotted" w:sz="4" w:space="0" w:color="000000" w:themeColor="text1"/>
              <w:right w:val="single" w:sz="8" w:space="0" w:color="000000" w:themeColor="text1"/>
            </w:tcBorders>
            <w:shd w:val="clear" w:color="auto" w:fill="auto"/>
            <w:vAlign w:val="center"/>
          </w:tcPr>
          <w:p w14:paraId="139A32F8" w14:textId="77777777" w:rsidR="00B62A13" w:rsidRPr="00B6770E" w:rsidRDefault="00B62A13">
            <w:pPr>
              <w:pStyle w:val="1-BodyText"/>
            </w:pPr>
            <w:r w:rsidRPr="00B6770E">
              <w:t>24m (23.7)</w:t>
            </w:r>
          </w:p>
        </w:tc>
        <w:tc>
          <w:tcPr>
            <w:tcW w:w="900" w:type="dxa"/>
            <w:tcBorders>
              <w:top w:val="nil"/>
              <w:left w:val="nil"/>
              <w:bottom w:val="dotted" w:sz="4" w:space="0" w:color="000000" w:themeColor="text1"/>
              <w:right w:val="single" w:sz="8" w:space="0" w:color="000000" w:themeColor="text1"/>
            </w:tcBorders>
            <w:shd w:val="clear" w:color="auto" w:fill="auto"/>
            <w:vAlign w:val="center"/>
          </w:tcPr>
          <w:p w14:paraId="1DA21F53" w14:textId="77777777" w:rsidR="00B62A13" w:rsidRPr="00B6770E" w:rsidRDefault="00B62A13">
            <w:pPr>
              <w:pStyle w:val="1-BodyText"/>
            </w:pPr>
            <w:r w:rsidRPr="00B6770E">
              <w:t>4.1%</w:t>
            </w:r>
          </w:p>
        </w:tc>
        <w:tc>
          <w:tcPr>
            <w:tcW w:w="1620" w:type="dxa"/>
            <w:tcBorders>
              <w:top w:val="nil"/>
              <w:left w:val="nil"/>
              <w:bottom w:val="dotted" w:sz="4" w:space="0" w:color="000000" w:themeColor="text1"/>
              <w:right w:val="single" w:sz="8" w:space="0" w:color="000000" w:themeColor="text1"/>
            </w:tcBorders>
            <w:shd w:val="clear" w:color="auto" w:fill="auto"/>
            <w:vAlign w:val="center"/>
          </w:tcPr>
          <w:p w14:paraId="6F9874B6" w14:textId="77777777" w:rsidR="00B62A13" w:rsidRPr="00B6770E" w:rsidRDefault="00B62A13">
            <w:pPr>
              <w:pStyle w:val="1-BodyText"/>
            </w:pPr>
            <w:r w:rsidRPr="00B6770E">
              <w:t>97.8% (N=178)</w:t>
            </w:r>
          </w:p>
        </w:tc>
        <w:tc>
          <w:tcPr>
            <w:tcW w:w="1080" w:type="dxa"/>
            <w:tcBorders>
              <w:top w:val="nil"/>
              <w:left w:val="nil"/>
              <w:bottom w:val="dotted" w:sz="4" w:space="0" w:color="000000" w:themeColor="text1"/>
              <w:right w:val="single" w:sz="8" w:space="0" w:color="000000" w:themeColor="text1"/>
            </w:tcBorders>
            <w:shd w:val="clear" w:color="auto" w:fill="auto"/>
            <w:vAlign w:val="center"/>
          </w:tcPr>
          <w:p w14:paraId="46C267D9" w14:textId="77777777" w:rsidR="00B62A13" w:rsidRPr="00B6770E" w:rsidRDefault="00B62A13">
            <w:pPr>
              <w:pStyle w:val="1-BodyText"/>
            </w:pPr>
            <w:r w:rsidRPr="00B6770E">
              <w:t>51.7%</w:t>
            </w:r>
          </w:p>
        </w:tc>
        <w:tc>
          <w:tcPr>
            <w:tcW w:w="810" w:type="dxa"/>
            <w:tcBorders>
              <w:top w:val="nil"/>
              <w:left w:val="nil"/>
              <w:bottom w:val="dotted" w:sz="4" w:space="0" w:color="000000" w:themeColor="text1"/>
              <w:right w:val="single" w:sz="8" w:space="0" w:color="000000" w:themeColor="text1"/>
            </w:tcBorders>
            <w:shd w:val="clear" w:color="auto" w:fill="auto"/>
            <w:vAlign w:val="center"/>
          </w:tcPr>
          <w:p w14:paraId="2B16C1E1" w14:textId="77777777" w:rsidR="00B62A13" w:rsidRPr="00B6770E" w:rsidRDefault="00B62A13">
            <w:pPr>
              <w:pStyle w:val="1-BodyText"/>
            </w:pPr>
            <w:r w:rsidRPr="00B6770E">
              <w:t>44.6%</w:t>
            </w:r>
          </w:p>
        </w:tc>
        <w:tc>
          <w:tcPr>
            <w:tcW w:w="1710" w:type="dxa"/>
            <w:tcBorders>
              <w:top w:val="nil"/>
              <w:left w:val="nil"/>
              <w:bottom w:val="dotted" w:sz="4" w:space="0" w:color="000000" w:themeColor="text1"/>
              <w:right w:val="single" w:sz="8" w:space="0" w:color="000000" w:themeColor="text1"/>
            </w:tcBorders>
            <w:shd w:val="clear" w:color="auto" w:fill="auto"/>
            <w:vAlign w:val="center"/>
          </w:tcPr>
          <w:p w14:paraId="2318AA9C" w14:textId="77777777" w:rsidR="00B62A13" w:rsidRPr="00B6770E" w:rsidRDefault="00B62A13">
            <w:pPr>
              <w:pStyle w:val="1-BodyText"/>
            </w:pPr>
            <w:r w:rsidRPr="00B6770E">
              <w:t>45.7</w:t>
            </w:r>
            <w:r w:rsidRPr="00A66758">
              <w:rPr>
                <w:vertAlign w:val="superscript"/>
              </w:rPr>
              <w:t>a</w:t>
            </w:r>
            <w:r w:rsidRPr="00B6770E">
              <w:t xml:space="preserve"> (26.9-64.4)</w:t>
            </w:r>
          </w:p>
        </w:tc>
        <w:tc>
          <w:tcPr>
            <w:tcW w:w="2128" w:type="dxa"/>
            <w:tcBorders>
              <w:top w:val="nil"/>
              <w:left w:val="nil"/>
              <w:bottom w:val="dotted" w:sz="4" w:space="0" w:color="000000" w:themeColor="text1"/>
            </w:tcBorders>
            <w:shd w:val="clear" w:color="auto" w:fill="auto"/>
            <w:vAlign w:val="center"/>
          </w:tcPr>
          <w:p w14:paraId="0455DC4C" w14:textId="77777777" w:rsidR="00B62A13" w:rsidRPr="00B6770E" w:rsidRDefault="00B62A13">
            <w:pPr>
              <w:pStyle w:val="1-BodyText"/>
            </w:pPr>
            <w:r w:rsidRPr="00B6770E">
              <w:t>6.24 (5.25-7.</w:t>
            </w:r>
            <w:proofErr w:type="gramStart"/>
            <w:r w:rsidRPr="00B6770E">
              <w:t>23)</w:t>
            </w:r>
            <w:r w:rsidRPr="006A33E0">
              <w:rPr>
                <w:vertAlign w:val="superscript"/>
              </w:rPr>
              <w:t>c</w:t>
            </w:r>
            <w:proofErr w:type="gramEnd"/>
          </w:p>
        </w:tc>
      </w:tr>
      <w:tr w:rsidR="00AC0B60" w:rsidRPr="00B6770E" w14:paraId="434801E0" w14:textId="77777777" w:rsidTr="00C70E76">
        <w:trPr>
          <w:trHeight w:val="310"/>
          <w:jc w:val="center"/>
        </w:trPr>
        <w:tc>
          <w:tcPr>
            <w:tcW w:w="1888" w:type="dxa"/>
            <w:vMerge/>
            <w:tcBorders>
              <w:left w:val="nil"/>
              <w:bottom w:val="single" w:sz="8" w:space="0" w:color="000000" w:themeColor="text1"/>
              <w:right w:val="single" w:sz="8" w:space="0" w:color="000000" w:themeColor="text1"/>
            </w:tcBorders>
            <w:shd w:val="clear" w:color="auto" w:fill="auto"/>
          </w:tcPr>
          <w:p w14:paraId="733BA9BE" w14:textId="77777777" w:rsidR="00AC0B60" w:rsidRPr="00B6770E" w:rsidRDefault="00AC0B60" w:rsidP="00AC0B60">
            <w:pPr>
              <w:pStyle w:val="1-BodyText"/>
            </w:pPr>
          </w:p>
        </w:tc>
        <w:tc>
          <w:tcPr>
            <w:tcW w:w="1172"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2EBCB0B" w14:textId="77777777" w:rsidR="00AC0B60" w:rsidRPr="00B6770E" w:rsidRDefault="00AC0B60" w:rsidP="00AC0B60">
            <w:pPr>
              <w:pStyle w:val="1-BodyText"/>
            </w:pPr>
            <w:r w:rsidRPr="00B6770E">
              <w:t>36m (34.7)</w:t>
            </w:r>
          </w:p>
        </w:tc>
        <w:tc>
          <w:tcPr>
            <w:tcW w:w="900" w:type="dxa"/>
            <w:tcBorders>
              <w:top w:val="nil"/>
              <w:left w:val="nil"/>
              <w:bottom w:val="dotted" w:sz="4" w:space="0" w:color="000000" w:themeColor="text1"/>
              <w:right w:val="single" w:sz="8" w:space="0" w:color="000000" w:themeColor="text1"/>
            </w:tcBorders>
            <w:shd w:val="clear" w:color="auto" w:fill="auto"/>
            <w:vAlign w:val="center"/>
          </w:tcPr>
          <w:p w14:paraId="3AD949ED" w14:textId="77777777" w:rsidR="00AC0B60" w:rsidRPr="00B6770E" w:rsidRDefault="00AC0B60" w:rsidP="00AC0B60">
            <w:pPr>
              <w:pStyle w:val="1-BodyText"/>
            </w:pPr>
            <w:r w:rsidRPr="00B6770E">
              <w:t>7.5%</w:t>
            </w:r>
          </w:p>
        </w:tc>
        <w:tc>
          <w:tcPr>
            <w:tcW w:w="1620" w:type="dxa"/>
            <w:tcBorders>
              <w:top w:val="nil"/>
              <w:left w:val="nil"/>
              <w:bottom w:val="single" w:sz="8" w:space="0" w:color="000000" w:themeColor="text1"/>
              <w:right w:val="single" w:sz="8" w:space="0" w:color="000000" w:themeColor="text1"/>
            </w:tcBorders>
            <w:shd w:val="clear" w:color="auto" w:fill="auto"/>
            <w:vAlign w:val="center"/>
          </w:tcPr>
          <w:p w14:paraId="3CF5D646" w14:textId="77777777" w:rsidR="00AC0B60" w:rsidRPr="00B6770E" w:rsidRDefault="00AC0B60" w:rsidP="00AC0B60">
            <w:pPr>
              <w:pStyle w:val="1-BodyText"/>
            </w:pPr>
            <w:r w:rsidRPr="00B6770E">
              <w:t>97.8% (N=136)</w:t>
            </w:r>
          </w:p>
        </w:tc>
        <w:tc>
          <w:tcPr>
            <w:tcW w:w="1080" w:type="dxa"/>
            <w:tcBorders>
              <w:top w:val="nil"/>
              <w:left w:val="nil"/>
              <w:bottom w:val="dotted" w:sz="4" w:space="0" w:color="000000" w:themeColor="text1"/>
              <w:right w:val="single" w:sz="8" w:space="0" w:color="000000" w:themeColor="text1"/>
            </w:tcBorders>
            <w:shd w:val="clear" w:color="auto" w:fill="auto"/>
            <w:vAlign w:val="center"/>
          </w:tcPr>
          <w:p w14:paraId="3E2A18B7" w14:textId="77777777" w:rsidR="00AC0B60" w:rsidRPr="00B6770E" w:rsidRDefault="00AC0B60" w:rsidP="00AC0B60">
            <w:pPr>
              <w:pStyle w:val="1-BodyText"/>
            </w:pPr>
            <w:r w:rsidRPr="00B6770E">
              <w:t>49.2%</w:t>
            </w:r>
          </w:p>
        </w:tc>
        <w:tc>
          <w:tcPr>
            <w:tcW w:w="810" w:type="dxa"/>
            <w:tcBorders>
              <w:top w:val="nil"/>
              <w:left w:val="nil"/>
              <w:bottom w:val="dotted" w:sz="4" w:space="0" w:color="000000" w:themeColor="text1"/>
              <w:right w:val="single" w:sz="8" w:space="0" w:color="000000" w:themeColor="text1"/>
            </w:tcBorders>
            <w:shd w:val="clear" w:color="auto" w:fill="auto"/>
            <w:vAlign w:val="center"/>
          </w:tcPr>
          <w:p w14:paraId="700303C9" w14:textId="77777777" w:rsidR="00AC0B60" w:rsidRPr="00B6770E" w:rsidRDefault="00AC0B60" w:rsidP="00AC0B60">
            <w:pPr>
              <w:pStyle w:val="1-BodyText"/>
            </w:pPr>
            <w:r w:rsidRPr="00B6770E">
              <w:t>35.4%</w:t>
            </w:r>
          </w:p>
        </w:tc>
        <w:tc>
          <w:tcPr>
            <w:tcW w:w="1710" w:type="dxa"/>
            <w:tcBorders>
              <w:top w:val="nil"/>
              <w:left w:val="nil"/>
              <w:bottom w:val="single" w:sz="8" w:space="0" w:color="000000" w:themeColor="text1"/>
              <w:right w:val="single" w:sz="8" w:space="0" w:color="000000" w:themeColor="text1"/>
            </w:tcBorders>
            <w:shd w:val="clear" w:color="auto" w:fill="auto"/>
            <w:vAlign w:val="center"/>
          </w:tcPr>
          <w:p w14:paraId="3EB53805" w14:textId="4E584427" w:rsidR="00AC0B60" w:rsidRPr="00B729D6" w:rsidRDefault="00AC0B60" w:rsidP="00AC0B60">
            <w:pPr>
              <w:pStyle w:val="1-BodyText"/>
            </w:pPr>
            <w:r w:rsidRPr="00B729D6">
              <w:t>12.0</w:t>
            </w:r>
            <w:r w:rsidRPr="00A66758">
              <w:rPr>
                <w:vertAlign w:val="superscript"/>
              </w:rPr>
              <w:t>a</w:t>
            </w:r>
            <w:r w:rsidRPr="00B729D6">
              <w:t xml:space="preserve"> (3.0-21.0)</w:t>
            </w:r>
          </w:p>
        </w:tc>
        <w:tc>
          <w:tcPr>
            <w:tcW w:w="2128" w:type="dxa"/>
            <w:tcBorders>
              <w:top w:val="nil"/>
              <w:left w:val="nil"/>
              <w:bottom w:val="single" w:sz="8" w:space="0" w:color="000000" w:themeColor="text1"/>
            </w:tcBorders>
            <w:shd w:val="clear" w:color="auto" w:fill="auto"/>
            <w:vAlign w:val="center"/>
          </w:tcPr>
          <w:p w14:paraId="4932F75A" w14:textId="31DF0420" w:rsidR="00AC0B60" w:rsidRPr="00B729D6" w:rsidRDefault="00AC0B60" w:rsidP="00AC0B60">
            <w:pPr>
              <w:pStyle w:val="1-BodyText"/>
            </w:pPr>
            <w:r w:rsidRPr="00B729D6">
              <w:t>6.81 (5.25-8.</w:t>
            </w:r>
            <w:proofErr w:type="gramStart"/>
            <w:r w:rsidRPr="00B729D6">
              <w:t>37)</w:t>
            </w:r>
            <w:r w:rsidRPr="006A33E0">
              <w:rPr>
                <w:vertAlign w:val="superscript"/>
              </w:rPr>
              <w:t>c</w:t>
            </w:r>
            <w:proofErr w:type="gramEnd"/>
          </w:p>
        </w:tc>
      </w:tr>
      <w:tr w:rsidR="00AC0B60" w:rsidRPr="00B6770E" w14:paraId="4FDE96D3" w14:textId="77777777" w:rsidTr="00C70E76">
        <w:trPr>
          <w:trHeight w:val="290"/>
          <w:jc w:val="center"/>
        </w:trPr>
        <w:tc>
          <w:tcPr>
            <w:tcW w:w="1888" w:type="dxa"/>
            <w:vMerge w:val="restart"/>
            <w:tcBorders>
              <w:top w:val="nil"/>
              <w:left w:val="nil"/>
              <w:right w:val="single" w:sz="8" w:space="0" w:color="000000" w:themeColor="text1"/>
            </w:tcBorders>
            <w:shd w:val="clear" w:color="auto" w:fill="auto"/>
          </w:tcPr>
          <w:p w14:paraId="3C7CC179" w14:textId="77777777" w:rsidR="00AC0B60" w:rsidRPr="00B6770E" w:rsidRDefault="00AC0B60" w:rsidP="00AC0B60">
            <w:pPr>
              <w:pStyle w:val="1-BodyText"/>
            </w:pPr>
            <w:proofErr w:type="spellStart"/>
            <w:r w:rsidRPr="00B6770E">
              <w:t>Aboisso</w:t>
            </w:r>
            <w:proofErr w:type="spellEnd"/>
          </w:p>
          <w:p w14:paraId="1917034B" w14:textId="77777777" w:rsidR="00AC0B60" w:rsidRPr="00B6770E" w:rsidRDefault="00AC0B60" w:rsidP="00AC0B60">
            <w:pPr>
              <w:pStyle w:val="1-BodyText"/>
            </w:pPr>
            <w:r w:rsidRPr="00B6770E">
              <w:t>(Interceptor® G2)</w:t>
            </w:r>
          </w:p>
          <w:p w14:paraId="22E620E6" w14:textId="77777777" w:rsidR="00AC0B60" w:rsidRPr="00B6770E" w:rsidRDefault="00AC0B60" w:rsidP="00AC0B60">
            <w:pPr>
              <w:pStyle w:val="1-BodyText"/>
            </w:pPr>
            <w:r w:rsidRPr="00B6770E">
              <w:t> </w:t>
            </w:r>
          </w:p>
        </w:tc>
        <w:tc>
          <w:tcPr>
            <w:tcW w:w="1172" w:type="dxa"/>
            <w:tcBorders>
              <w:top w:val="nil"/>
              <w:left w:val="nil"/>
              <w:bottom w:val="dotted" w:sz="4" w:space="0" w:color="000000" w:themeColor="text1"/>
              <w:right w:val="single" w:sz="8" w:space="0" w:color="000000" w:themeColor="text1"/>
            </w:tcBorders>
            <w:shd w:val="clear" w:color="auto" w:fill="auto"/>
            <w:vAlign w:val="center"/>
          </w:tcPr>
          <w:p w14:paraId="7188EA6C" w14:textId="77777777" w:rsidR="00AC0B60" w:rsidRPr="00B6770E" w:rsidRDefault="00AC0B60" w:rsidP="00AC0B60">
            <w:pPr>
              <w:pStyle w:val="1-BodyText"/>
            </w:pPr>
            <w:r w:rsidRPr="00B6770E">
              <w:t>Baseline (5.6)</w:t>
            </w:r>
          </w:p>
        </w:tc>
        <w:tc>
          <w:tcPr>
            <w:tcW w:w="900" w:type="dxa"/>
            <w:tcBorders>
              <w:top w:val="single" w:sz="8" w:space="0" w:color="000000" w:themeColor="text1"/>
              <w:left w:val="nil"/>
              <w:bottom w:val="dotted" w:sz="4" w:space="0" w:color="000000" w:themeColor="text1"/>
              <w:right w:val="single" w:sz="8" w:space="0" w:color="000000" w:themeColor="text1"/>
            </w:tcBorders>
            <w:shd w:val="clear" w:color="auto" w:fill="auto"/>
            <w:vAlign w:val="center"/>
          </w:tcPr>
          <w:p w14:paraId="2C962D64" w14:textId="77777777" w:rsidR="00AC0B60" w:rsidRPr="00B6770E" w:rsidRDefault="00AC0B60" w:rsidP="00AC0B60">
            <w:pPr>
              <w:pStyle w:val="1-BodyText"/>
            </w:pPr>
            <w:r w:rsidRPr="00B6770E">
              <w:t>0.3%</w:t>
            </w:r>
          </w:p>
        </w:tc>
        <w:tc>
          <w:tcPr>
            <w:tcW w:w="1620" w:type="dxa"/>
            <w:tcBorders>
              <w:top w:val="nil"/>
              <w:left w:val="nil"/>
              <w:bottom w:val="dotted" w:sz="4" w:space="0" w:color="000000" w:themeColor="text1"/>
              <w:right w:val="single" w:sz="8" w:space="0" w:color="000000" w:themeColor="text1"/>
            </w:tcBorders>
            <w:shd w:val="clear" w:color="auto" w:fill="auto"/>
            <w:vAlign w:val="center"/>
          </w:tcPr>
          <w:p w14:paraId="18582E6C" w14:textId="77777777" w:rsidR="00AC0B60" w:rsidRPr="00B6770E" w:rsidRDefault="00AC0B60" w:rsidP="00AC0B60">
            <w:pPr>
              <w:pStyle w:val="1-BodyText"/>
            </w:pPr>
            <w:r w:rsidRPr="00B6770E">
              <w:t>98.4% (N=312)</w:t>
            </w:r>
          </w:p>
        </w:tc>
        <w:tc>
          <w:tcPr>
            <w:tcW w:w="1080" w:type="dxa"/>
            <w:tcBorders>
              <w:top w:val="single" w:sz="8" w:space="0" w:color="000000" w:themeColor="text1"/>
              <w:left w:val="nil"/>
              <w:bottom w:val="dotted" w:sz="4" w:space="0" w:color="000000" w:themeColor="text1"/>
              <w:right w:val="single" w:sz="8" w:space="0" w:color="000000" w:themeColor="text1"/>
            </w:tcBorders>
            <w:shd w:val="clear" w:color="auto" w:fill="auto"/>
            <w:vAlign w:val="center"/>
          </w:tcPr>
          <w:p w14:paraId="09F99797" w14:textId="77777777" w:rsidR="00AC0B60" w:rsidRPr="00B6770E" w:rsidRDefault="00AC0B60" w:rsidP="00AC0B60">
            <w:pPr>
              <w:pStyle w:val="1-BodyText"/>
            </w:pPr>
            <w:r w:rsidRPr="00B6770E">
              <w:t>24.7%</w:t>
            </w:r>
          </w:p>
        </w:tc>
        <w:tc>
          <w:tcPr>
            <w:tcW w:w="810" w:type="dxa"/>
            <w:tcBorders>
              <w:top w:val="single" w:sz="8" w:space="0" w:color="000000" w:themeColor="text1"/>
              <w:left w:val="nil"/>
              <w:bottom w:val="dotted" w:sz="4" w:space="0" w:color="000000" w:themeColor="text1"/>
              <w:right w:val="single" w:sz="8" w:space="0" w:color="000000" w:themeColor="text1"/>
            </w:tcBorders>
            <w:shd w:val="clear" w:color="auto" w:fill="auto"/>
            <w:vAlign w:val="center"/>
          </w:tcPr>
          <w:p w14:paraId="473931BB" w14:textId="77777777" w:rsidR="00AC0B60" w:rsidRPr="00B6770E" w:rsidRDefault="00AC0B60" w:rsidP="00AC0B60">
            <w:pPr>
              <w:pStyle w:val="1-BodyText"/>
            </w:pPr>
            <w:r w:rsidRPr="00B6770E">
              <w:t>77.8%</w:t>
            </w:r>
          </w:p>
        </w:tc>
        <w:tc>
          <w:tcPr>
            <w:tcW w:w="1710" w:type="dxa"/>
            <w:tcBorders>
              <w:top w:val="nil"/>
              <w:left w:val="nil"/>
              <w:bottom w:val="dotted" w:sz="4" w:space="0" w:color="000000" w:themeColor="text1"/>
              <w:right w:val="single" w:sz="8" w:space="0" w:color="000000" w:themeColor="text1"/>
            </w:tcBorders>
            <w:shd w:val="clear" w:color="auto" w:fill="auto"/>
            <w:vAlign w:val="center"/>
          </w:tcPr>
          <w:p w14:paraId="78359D69" w14:textId="77777777" w:rsidR="00AC0B60" w:rsidRPr="00B729D6" w:rsidRDefault="00AC0B60" w:rsidP="00AC0B60">
            <w:pPr>
              <w:pStyle w:val="1-BodyText"/>
            </w:pPr>
            <w:r w:rsidRPr="00B729D6">
              <w:t>63.1</w:t>
            </w:r>
            <w:r w:rsidRPr="00A66758">
              <w:rPr>
                <w:vertAlign w:val="superscript"/>
              </w:rPr>
              <w:t>b</w:t>
            </w:r>
            <w:r w:rsidRPr="00B729D6">
              <w:t xml:space="preserve"> (53.1-73.1)</w:t>
            </w:r>
          </w:p>
        </w:tc>
        <w:tc>
          <w:tcPr>
            <w:tcW w:w="2128" w:type="dxa"/>
            <w:tcBorders>
              <w:top w:val="nil"/>
              <w:left w:val="nil"/>
              <w:bottom w:val="dotted" w:sz="4" w:space="0" w:color="000000" w:themeColor="text1"/>
            </w:tcBorders>
            <w:shd w:val="clear" w:color="auto" w:fill="auto"/>
          </w:tcPr>
          <w:p w14:paraId="3BE4B41D" w14:textId="77777777" w:rsidR="00AC0B60" w:rsidRPr="00B729D6" w:rsidRDefault="00AC0B60" w:rsidP="00AC0B60">
            <w:pPr>
              <w:pStyle w:val="1-BodyText"/>
            </w:pPr>
            <w:r w:rsidRPr="00B729D6">
              <w:t>3.78 (3.44-4.</w:t>
            </w:r>
            <w:proofErr w:type="gramStart"/>
            <w:r w:rsidRPr="00B729D6">
              <w:t>12)</w:t>
            </w:r>
            <w:r w:rsidRPr="006A33E0">
              <w:rPr>
                <w:vertAlign w:val="superscript"/>
              </w:rPr>
              <w:t>d</w:t>
            </w:r>
            <w:proofErr w:type="gramEnd"/>
          </w:p>
        </w:tc>
      </w:tr>
      <w:tr w:rsidR="00AC0B60" w:rsidRPr="00B6770E" w14:paraId="4C5D8C67" w14:textId="77777777" w:rsidTr="00C70E76">
        <w:trPr>
          <w:trHeight w:val="300"/>
          <w:jc w:val="center"/>
        </w:trPr>
        <w:tc>
          <w:tcPr>
            <w:tcW w:w="1888" w:type="dxa"/>
            <w:vMerge/>
            <w:tcBorders>
              <w:left w:val="nil"/>
              <w:right w:val="single" w:sz="8" w:space="0" w:color="000000" w:themeColor="text1"/>
            </w:tcBorders>
            <w:shd w:val="clear" w:color="auto" w:fill="auto"/>
            <w:vAlign w:val="center"/>
          </w:tcPr>
          <w:p w14:paraId="294CF1C6" w14:textId="77777777" w:rsidR="00AC0B60" w:rsidRPr="00B6770E" w:rsidRDefault="00AC0B60" w:rsidP="00AC0B60">
            <w:pPr>
              <w:pStyle w:val="1-BodyText"/>
            </w:pPr>
          </w:p>
        </w:tc>
        <w:tc>
          <w:tcPr>
            <w:tcW w:w="1172" w:type="dxa"/>
            <w:tcBorders>
              <w:top w:val="nil"/>
              <w:left w:val="nil"/>
              <w:bottom w:val="dotted" w:sz="4" w:space="0" w:color="000000" w:themeColor="text1"/>
              <w:right w:val="single" w:sz="8" w:space="0" w:color="000000" w:themeColor="text1"/>
            </w:tcBorders>
            <w:shd w:val="clear" w:color="auto" w:fill="auto"/>
            <w:vAlign w:val="center"/>
          </w:tcPr>
          <w:p w14:paraId="07E3F999" w14:textId="77777777" w:rsidR="00AC0B60" w:rsidRPr="00B6770E" w:rsidRDefault="00AC0B60" w:rsidP="00AC0B60">
            <w:pPr>
              <w:pStyle w:val="1-BodyText"/>
            </w:pPr>
            <w:r w:rsidRPr="00B6770E">
              <w:t>12m (11.3)</w:t>
            </w:r>
          </w:p>
        </w:tc>
        <w:tc>
          <w:tcPr>
            <w:tcW w:w="900" w:type="dxa"/>
            <w:tcBorders>
              <w:top w:val="nil"/>
              <w:left w:val="nil"/>
              <w:bottom w:val="dotted" w:sz="4" w:space="0" w:color="000000" w:themeColor="text1"/>
              <w:right w:val="single" w:sz="8" w:space="0" w:color="000000" w:themeColor="text1"/>
            </w:tcBorders>
            <w:shd w:val="clear" w:color="auto" w:fill="auto"/>
            <w:vAlign w:val="center"/>
          </w:tcPr>
          <w:p w14:paraId="4FEB0CB1" w14:textId="77777777" w:rsidR="00AC0B60" w:rsidRPr="00B6770E" w:rsidRDefault="00AC0B60" w:rsidP="00AC0B60">
            <w:pPr>
              <w:pStyle w:val="1-BodyText"/>
            </w:pPr>
            <w:r w:rsidRPr="00B6770E">
              <w:t>1.1%</w:t>
            </w:r>
          </w:p>
        </w:tc>
        <w:tc>
          <w:tcPr>
            <w:tcW w:w="1620" w:type="dxa"/>
            <w:tcBorders>
              <w:top w:val="nil"/>
              <w:left w:val="nil"/>
              <w:bottom w:val="dotted" w:sz="4" w:space="0" w:color="000000" w:themeColor="text1"/>
              <w:right w:val="single" w:sz="8" w:space="0" w:color="000000" w:themeColor="text1"/>
            </w:tcBorders>
            <w:shd w:val="clear" w:color="auto" w:fill="auto"/>
            <w:vAlign w:val="center"/>
          </w:tcPr>
          <w:p w14:paraId="0752BF4A" w14:textId="77777777" w:rsidR="00AC0B60" w:rsidRPr="00B6770E" w:rsidRDefault="00AC0B60" w:rsidP="00AC0B60">
            <w:pPr>
              <w:pStyle w:val="1-BodyText"/>
            </w:pPr>
            <w:r w:rsidRPr="00B6770E">
              <w:t>99.0% (N=291)</w:t>
            </w:r>
          </w:p>
        </w:tc>
        <w:tc>
          <w:tcPr>
            <w:tcW w:w="1080" w:type="dxa"/>
            <w:tcBorders>
              <w:top w:val="nil"/>
              <w:left w:val="nil"/>
              <w:bottom w:val="dotted" w:sz="4" w:space="0" w:color="000000" w:themeColor="text1"/>
              <w:right w:val="single" w:sz="8" w:space="0" w:color="000000" w:themeColor="text1"/>
            </w:tcBorders>
            <w:shd w:val="clear" w:color="auto" w:fill="auto"/>
            <w:vAlign w:val="center"/>
          </w:tcPr>
          <w:p w14:paraId="0C813D52" w14:textId="77777777" w:rsidR="00AC0B60" w:rsidRPr="00B6770E" w:rsidRDefault="00AC0B60" w:rsidP="00AC0B60">
            <w:pPr>
              <w:pStyle w:val="1-BodyText"/>
            </w:pPr>
            <w:r w:rsidRPr="00B6770E">
              <w:t>36.6%</w:t>
            </w:r>
          </w:p>
        </w:tc>
        <w:tc>
          <w:tcPr>
            <w:tcW w:w="810" w:type="dxa"/>
            <w:tcBorders>
              <w:top w:val="nil"/>
              <w:left w:val="nil"/>
              <w:bottom w:val="dotted" w:sz="4" w:space="0" w:color="000000" w:themeColor="text1"/>
              <w:right w:val="single" w:sz="8" w:space="0" w:color="000000" w:themeColor="text1"/>
            </w:tcBorders>
            <w:shd w:val="clear" w:color="auto" w:fill="auto"/>
            <w:vAlign w:val="center"/>
          </w:tcPr>
          <w:p w14:paraId="551A388C" w14:textId="77777777" w:rsidR="00AC0B60" w:rsidRPr="00B6770E" w:rsidRDefault="00AC0B60" w:rsidP="00AC0B60">
            <w:pPr>
              <w:pStyle w:val="1-BodyText"/>
            </w:pPr>
            <w:r w:rsidRPr="00B6770E">
              <w:t>87.6%</w:t>
            </w:r>
          </w:p>
        </w:tc>
        <w:tc>
          <w:tcPr>
            <w:tcW w:w="1710" w:type="dxa"/>
            <w:tcBorders>
              <w:top w:val="nil"/>
              <w:left w:val="nil"/>
              <w:bottom w:val="dotted" w:sz="4" w:space="0" w:color="000000" w:themeColor="text1"/>
              <w:right w:val="single" w:sz="8" w:space="0" w:color="000000" w:themeColor="text1"/>
            </w:tcBorders>
            <w:shd w:val="clear" w:color="auto" w:fill="auto"/>
            <w:vAlign w:val="center"/>
          </w:tcPr>
          <w:p w14:paraId="69F830D1" w14:textId="77777777" w:rsidR="00AC0B60" w:rsidRPr="00B729D6" w:rsidRDefault="00AC0B60" w:rsidP="00AC0B60">
            <w:pPr>
              <w:pStyle w:val="1-BodyText"/>
            </w:pPr>
            <w:r w:rsidRPr="00B729D6">
              <w:t>63.7</w:t>
            </w:r>
            <w:r w:rsidRPr="00A66758">
              <w:rPr>
                <w:vertAlign w:val="superscript"/>
              </w:rPr>
              <w:t>b</w:t>
            </w:r>
            <w:r w:rsidRPr="00B729D6">
              <w:t xml:space="preserve"> (59.3-68.2)</w:t>
            </w:r>
          </w:p>
        </w:tc>
        <w:tc>
          <w:tcPr>
            <w:tcW w:w="2128" w:type="dxa"/>
            <w:tcBorders>
              <w:top w:val="nil"/>
              <w:left w:val="nil"/>
              <w:bottom w:val="dotted" w:sz="4" w:space="0" w:color="000000" w:themeColor="text1"/>
            </w:tcBorders>
            <w:shd w:val="clear" w:color="auto" w:fill="auto"/>
          </w:tcPr>
          <w:p w14:paraId="7175B995" w14:textId="77777777" w:rsidR="00AC0B60" w:rsidRPr="00B729D6" w:rsidRDefault="00AC0B60" w:rsidP="00AC0B60">
            <w:pPr>
              <w:pStyle w:val="1-BodyText"/>
            </w:pPr>
            <w:r w:rsidRPr="00B729D6">
              <w:t>2.61 (2.01-3.</w:t>
            </w:r>
            <w:proofErr w:type="gramStart"/>
            <w:r w:rsidRPr="00B729D6">
              <w:t>21)</w:t>
            </w:r>
            <w:r w:rsidRPr="006A33E0">
              <w:rPr>
                <w:vertAlign w:val="superscript"/>
              </w:rPr>
              <w:t>d</w:t>
            </w:r>
            <w:proofErr w:type="gramEnd"/>
          </w:p>
        </w:tc>
      </w:tr>
      <w:tr w:rsidR="00AC0B60" w:rsidRPr="00B6770E" w14:paraId="1641AA9E" w14:textId="77777777" w:rsidTr="00C70E76">
        <w:trPr>
          <w:trHeight w:val="300"/>
          <w:jc w:val="center"/>
        </w:trPr>
        <w:tc>
          <w:tcPr>
            <w:tcW w:w="1888" w:type="dxa"/>
            <w:vMerge/>
            <w:tcBorders>
              <w:left w:val="nil"/>
              <w:right w:val="single" w:sz="8" w:space="0" w:color="000000" w:themeColor="text1"/>
            </w:tcBorders>
            <w:shd w:val="clear" w:color="auto" w:fill="auto"/>
            <w:vAlign w:val="center"/>
          </w:tcPr>
          <w:p w14:paraId="3BE02E40" w14:textId="77777777" w:rsidR="00AC0B60" w:rsidRPr="00B6770E" w:rsidRDefault="00AC0B60" w:rsidP="00AC0B60">
            <w:pPr>
              <w:pStyle w:val="1-BodyText"/>
            </w:pPr>
          </w:p>
        </w:tc>
        <w:tc>
          <w:tcPr>
            <w:tcW w:w="1172" w:type="dxa"/>
            <w:tcBorders>
              <w:top w:val="nil"/>
              <w:left w:val="nil"/>
              <w:bottom w:val="dotted" w:sz="4" w:space="0" w:color="000000" w:themeColor="text1"/>
              <w:right w:val="single" w:sz="8" w:space="0" w:color="000000" w:themeColor="text1"/>
            </w:tcBorders>
            <w:shd w:val="clear" w:color="auto" w:fill="auto"/>
            <w:vAlign w:val="center"/>
          </w:tcPr>
          <w:p w14:paraId="225B1722" w14:textId="77777777" w:rsidR="00AC0B60" w:rsidRPr="00B6770E" w:rsidRDefault="00AC0B60" w:rsidP="00AC0B60">
            <w:pPr>
              <w:pStyle w:val="1-BodyText"/>
            </w:pPr>
            <w:r w:rsidRPr="00B6770E">
              <w:t>24m (23.7)</w:t>
            </w:r>
          </w:p>
        </w:tc>
        <w:tc>
          <w:tcPr>
            <w:tcW w:w="900" w:type="dxa"/>
            <w:tcBorders>
              <w:top w:val="nil"/>
              <w:left w:val="nil"/>
              <w:bottom w:val="dotted" w:sz="4" w:space="0" w:color="000000" w:themeColor="text1"/>
              <w:right w:val="single" w:sz="8" w:space="0" w:color="000000" w:themeColor="text1"/>
            </w:tcBorders>
            <w:shd w:val="clear" w:color="auto" w:fill="auto"/>
            <w:vAlign w:val="center"/>
          </w:tcPr>
          <w:p w14:paraId="1B932A94" w14:textId="77777777" w:rsidR="00AC0B60" w:rsidRPr="00B6770E" w:rsidRDefault="00AC0B60" w:rsidP="00AC0B60">
            <w:pPr>
              <w:pStyle w:val="1-BodyText"/>
            </w:pPr>
            <w:r w:rsidRPr="00B6770E">
              <w:t>7.0%</w:t>
            </w:r>
          </w:p>
        </w:tc>
        <w:tc>
          <w:tcPr>
            <w:tcW w:w="1620" w:type="dxa"/>
            <w:tcBorders>
              <w:top w:val="nil"/>
              <w:left w:val="nil"/>
              <w:bottom w:val="dotted" w:sz="4" w:space="0" w:color="000000" w:themeColor="text1"/>
              <w:right w:val="single" w:sz="8" w:space="0" w:color="000000" w:themeColor="text1"/>
            </w:tcBorders>
            <w:shd w:val="clear" w:color="auto" w:fill="auto"/>
            <w:vAlign w:val="center"/>
          </w:tcPr>
          <w:p w14:paraId="77D51E38" w14:textId="77777777" w:rsidR="00AC0B60" w:rsidRPr="00B6770E" w:rsidRDefault="00AC0B60" w:rsidP="00AC0B60">
            <w:pPr>
              <w:pStyle w:val="1-BodyText"/>
            </w:pPr>
            <w:r w:rsidRPr="00B6770E">
              <w:t>94.2% (N=191)</w:t>
            </w:r>
          </w:p>
        </w:tc>
        <w:tc>
          <w:tcPr>
            <w:tcW w:w="1080" w:type="dxa"/>
            <w:tcBorders>
              <w:top w:val="nil"/>
              <w:left w:val="nil"/>
              <w:bottom w:val="dotted" w:sz="4" w:space="0" w:color="000000" w:themeColor="text1"/>
              <w:right w:val="single" w:sz="8" w:space="0" w:color="000000" w:themeColor="text1"/>
            </w:tcBorders>
            <w:shd w:val="clear" w:color="auto" w:fill="auto"/>
            <w:vAlign w:val="center"/>
          </w:tcPr>
          <w:p w14:paraId="45F53BDC" w14:textId="77777777" w:rsidR="00AC0B60" w:rsidRPr="00B6770E" w:rsidRDefault="00AC0B60" w:rsidP="00AC0B60">
            <w:pPr>
              <w:pStyle w:val="1-BodyText"/>
            </w:pPr>
            <w:r w:rsidRPr="00B6770E">
              <w:t>54.4%</w:t>
            </w:r>
          </w:p>
        </w:tc>
        <w:tc>
          <w:tcPr>
            <w:tcW w:w="810" w:type="dxa"/>
            <w:tcBorders>
              <w:top w:val="nil"/>
              <w:left w:val="nil"/>
              <w:bottom w:val="dotted" w:sz="4" w:space="0" w:color="000000" w:themeColor="text1"/>
              <w:right w:val="single" w:sz="8" w:space="0" w:color="000000" w:themeColor="text1"/>
            </w:tcBorders>
            <w:shd w:val="clear" w:color="auto" w:fill="auto"/>
            <w:vAlign w:val="center"/>
          </w:tcPr>
          <w:p w14:paraId="6C0647F4" w14:textId="77777777" w:rsidR="00AC0B60" w:rsidRPr="00B6770E" w:rsidRDefault="00AC0B60" w:rsidP="00AC0B60">
            <w:pPr>
              <w:pStyle w:val="1-BodyText"/>
            </w:pPr>
            <w:r w:rsidRPr="00B6770E">
              <w:t>66.6%</w:t>
            </w:r>
          </w:p>
        </w:tc>
        <w:tc>
          <w:tcPr>
            <w:tcW w:w="1710" w:type="dxa"/>
            <w:tcBorders>
              <w:top w:val="nil"/>
              <w:left w:val="nil"/>
              <w:bottom w:val="dotted" w:sz="4" w:space="0" w:color="000000" w:themeColor="text1"/>
              <w:right w:val="single" w:sz="8" w:space="0" w:color="000000" w:themeColor="text1"/>
            </w:tcBorders>
            <w:shd w:val="clear" w:color="auto" w:fill="auto"/>
            <w:vAlign w:val="center"/>
          </w:tcPr>
          <w:p w14:paraId="48033E19" w14:textId="77777777" w:rsidR="00AC0B60" w:rsidRPr="00B729D6" w:rsidRDefault="00AC0B60" w:rsidP="00AC0B60">
            <w:pPr>
              <w:pStyle w:val="1-BodyText"/>
            </w:pPr>
            <w:r w:rsidRPr="00B729D6">
              <w:t>58.3</w:t>
            </w:r>
            <w:r w:rsidRPr="00A66758">
              <w:rPr>
                <w:vertAlign w:val="superscript"/>
              </w:rPr>
              <w:t>b</w:t>
            </w:r>
            <w:r w:rsidRPr="00B729D6">
              <w:t xml:space="preserve"> (50.1-66.4)</w:t>
            </w:r>
          </w:p>
        </w:tc>
        <w:tc>
          <w:tcPr>
            <w:tcW w:w="2128" w:type="dxa"/>
            <w:tcBorders>
              <w:top w:val="nil"/>
              <w:left w:val="nil"/>
              <w:bottom w:val="dotted" w:sz="4" w:space="0" w:color="000000" w:themeColor="text1"/>
            </w:tcBorders>
            <w:shd w:val="clear" w:color="auto" w:fill="auto"/>
            <w:vAlign w:val="center"/>
          </w:tcPr>
          <w:p w14:paraId="3F7212A2" w14:textId="77777777" w:rsidR="00AC0B60" w:rsidRPr="00B729D6" w:rsidRDefault="00AC0B60" w:rsidP="00AC0B60">
            <w:pPr>
              <w:pStyle w:val="1-BodyText"/>
            </w:pPr>
            <w:r w:rsidRPr="00B729D6">
              <w:t>1.53 (1.09-1.</w:t>
            </w:r>
            <w:proofErr w:type="gramStart"/>
            <w:r w:rsidRPr="00B729D6">
              <w:t>98)</w:t>
            </w:r>
            <w:r w:rsidRPr="006A33E0">
              <w:rPr>
                <w:vertAlign w:val="superscript"/>
              </w:rPr>
              <w:t>d</w:t>
            </w:r>
            <w:proofErr w:type="gramEnd"/>
          </w:p>
        </w:tc>
      </w:tr>
      <w:tr w:rsidR="008477A1" w:rsidRPr="00B6770E" w14:paraId="2C5348D5" w14:textId="77777777" w:rsidTr="00C70E76">
        <w:trPr>
          <w:trHeight w:val="310"/>
          <w:jc w:val="center"/>
        </w:trPr>
        <w:tc>
          <w:tcPr>
            <w:tcW w:w="1888" w:type="dxa"/>
            <w:vMerge/>
            <w:tcBorders>
              <w:left w:val="nil"/>
              <w:bottom w:val="single" w:sz="8" w:space="0" w:color="000000" w:themeColor="text1"/>
              <w:right w:val="single" w:sz="8" w:space="0" w:color="000000" w:themeColor="text1"/>
            </w:tcBorders>
            <w:shd w:val="clear" w:color="auto" w:fill="auto"/>
            <w:vAlign w:val="center"/>
          </w:tcPr>
          <w:p w14:paraId="703B3A19" w14:textId="77777777" w:rsidR="008477A1" w:rsidRPr="00B6770E" w:rsidRDefault="008477A1" w:rsidP="008477A1">
            <w:pPr>
              <w:pStyle w:val="1-BodyText"/>
            </w:pPr>
          </w:p>
        </w:tc>
        <w:tc>
          <w:tcPr>
            <w:tcW w:w="1172"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2B30D4F5" w14:textId="77777777" w:rsidR="008477A1" w:rsidRPr="00B6770E" w:rsidRDefault="008477A1" w:rsidP="008477A1">
            <w:pPr>
              <w:pStyle w:val="1-BodyText"/>
            </w:pPr>
            <w:r w:rsidRPr="00B6770E">
              <w:t>36m (34.7)</w:t>
            </w:r>
          </w:p>
        </w:tc>
        <w:tc>
          <w:tcPr>
            <w:tcW w:w="900" w:type="dxa"/>
            <w:tcBorders>
              <w:top w:val="nil"/>
              <w:left w:val="nil"/>
              <w:bottom w:val="single" w:sz="8" w:space="0" w:color="000000" w:themeColor="text1"/>
              <w:right w:val="single" w:sz="8" w:space="0" w:color="000000" w:themeColor="text1"/>
            </w:tcBorders>
            <w:shd w:val="clear" w:color="auto" w:fill="auto"/>
            <w:vAlign w:val="center"/>
          </w:tcPr>
          <w:p w14:paraId="0B6688DC" w14:textId="77777777" w:rsidR="008477A1" w:rsidRPr="00B6770E" w:rsidRDefault="008477A1" w:rsidP="008477A1">
            <w:pPr>
              <w:pStyle w:val="1-BodyText"/>
            </w:pPr>
            <w:r w:rsidRPr="00B6770E">
              <w:t>10.6%</w:t>
            </w:r>
          </w:p>
        </w:tc>
        <w:tc>
          <w:tcPr>
            <w:tcW w:w="1620" w:type="dxa"/>
            <w:tcBorders>
              <w:top w:val="nil"/>
              <w:left w:val="nil"/>
              <w:bottom w:val="dotted" w:sz="4" w:space="0" w:color="000000" w:themeColor="text1"/>
              <w:right w:val="single" w:sz="8" w:space="0" w:color="000000" w:themeColor="text1"/>
            </w:tcBorders>
            <w:shd w:val="clear" w:color="auto" w:fill="auto"/>
            <w:vAlign w:val="center"/>
          </w:tcPr>
          <w:p w14:paraId="779D08D4" w14:textId="77777777" w:rsidR="008477A1" w:rsidRPr="00B6770E" w:rsidRDefault="008477A1" w:rsidP="008477A1">
            <w:pPr>
              <w:pStyle w:val="1-BodyText"/>
            </w:pPr>
            <w:r w:rsidRPr="00B6770E">
              <w:t>90.6% (N=138)</w:t>
            </w:r>
          </w:p>
        </w:tc>
        <w:tc>
          <w:tcPr>
            <w:tcW w:w="1080" w:type="dxa"/>
            <w:tcBorders>
              <w:top w:val="nil"/>
              <w:left w:val="nil"/>
              <w:bottom w:val="single" w:sz="8" w:space="0" w:color="000000" w:themeColor="text1"/>
              <w:right w:val="single" w:sz="8" w:space="0" w:color="000000" w:themeColor="text1"/>
            </w:tcBorders>
            <w:shd w:val="clear" w:color="auto" w:fill="auto"/>
            <w:vAlign w:val="center"/>
          </w:tcPr>
          <w:p w14:paraId="5E68B3F6" w14:textId="77777777" w:rsidR="008477A1" w:rsidRPr="00B6770E" w:rsidRDefault="008477A1" w:rsidP="008477A1">
            <w:pPr>
              <w:pStyle w:val="1-BodyText"/>
            </w:pPr>
            <w:r w:rsidRPr="00B6770E">
              <w:t>58.6%</w:t>
            </w:r>
          </w:p>
        </w:tc>
        <w:tc>
          <w:tcPr>
            <w:tcW w:w="810" w:type="dxa"/>
            <w:tcBorders>
              <w:top w:val="nil"/>
              <w:left w:val="nil"/>
              <w:bottom w:val="single" w:sz="8" w:space="0" w:color="000000" w:themeColor="text1"/>
              <w:right w:val="single" w:sz="8" w:space="0" w:color="000000" w:themeColor="text1"/>
            </w:tcBorders>
            <w:shd w:val="clear" w:color="auto" w:fill="auto"/>
            <w:vAlign w:val="center"/>
          </w:tcPr>
          <w:p w14:paraId="71CCC373" w14:textId="77777777" w:rsidR="008477A1" w:rsidRPr="00B6770E" w:rsidRDefault="008477A1" w:rsidP="008477A1">
            <w:pPr>
              <w:pStyle w:val="1-BodyText"/>
            </w:pPr>
            <w:r w:rsidRPr="00B6770E">
              <w:t>81.3%</w:t>
            </w:r>
          </w:p>
        </w:tc>
        <w:tc>
          <w:tcPr>
            <w:tcW w:w="17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772FFDF" w14:textId="1308BF00" w:rsidR="008477A1" w:rsidRPr="00B729D6" w:rsidRDefault="008477A1" w:rsidP="008477A1">
            <w:pPr>
              <w:pStyle w:val="1-BodyText"/>
            </w:pPr>
            <w:r w:rsidRPr="00B729D6">
              <w:t>66.0</w:t>
            </w:r>
            <w:r w:rsidRPr="00A66758">
              <w:rPr>
                <w:vertAlign w:val="superscript"/>
              </w:rPr>
              <w:t>b</w:t>
            </w:r>
            <w:r w:rsidRPr="00B729D6">
              <w:t xml:space="preserve"> (63.7-68.3)</w:t>
            </w:r>
          </w:p>
        </w:tc>
        <w:tc>
          <w:tcPr>
            <w:tcW w:w="2128" w:type="dxa"/>
            <w:tcBorders>
              <w:top w:val="nil"/>
              <w:left w:val="nil"/>
              <w:bottom w:val="single" w:sz="8" w:space="0" w:color="000000" w:themeColor="text1"/>
            </w:tcBorders>
            <w:shd w:val="clear" w:color="auto" w:fill="auto"/>
            <w:vAlign w:val="center"/>
          </w:tcPr>
          <w:p w14:paraId="71CEF9D5" w14:textId="4D20B8B9" w:rsidR="008477A1" w:rsidRPr="00B729D6" w:rsidRDefault="008477A1" w:rsidP="008477A1">
            <w:pPr>
              <w:pStyle w:val="1-BodyText"/>
            </w:pPr>
            <w:r w:rsidRPr="00B729D6">
              <w:t>1.52 (1.01-2.</w:t>
            </w:r>
            <w:proofErr w:type="gramStart"/>
            <w:r w:rsidRPr="00B729D6">
              <w:t>04)</w:t>
            </w:r>
            <w:r w:rsidRPr="006A33E0">
              <w:rPr>
                <w:vertAlign w:val="superscript"/>
              </w:rPr>
              <w:t>d</w:t>
            </w:r>
            <w:proofErr w:type="gramEnd"/>
          </w:p>
        </w:tc>
      </w:tr>
      <w:tr w:rsidR="00AC0B60" w:rsidRPr="00B62A13" w14:paraId="62D58B4F" w14:textId="77777777">
        <w:trPr>
          <w:trHeight w:val="310"/>
          <w:jc w:val="center"/>
        </w:trPr>
        <w:tc>
          <w:tcPr>
            <w:tcW w:w="11308" w:type="dxa"/>
            <w:gridSpan w:val="8"/>
            <w:tcBorders>
              <w:top w:val="single" w:sz="8" w:space="0" w:color="000000" w:themeColor="text1"/>
              <w:left w:val="nil"/>
              <w:bottom w:val="single" w:sz="8" w:space="0" w:color="000000" w:themeColor="text1"/>
              <w:right w:val="nil"/>
            </w:tcBorders>
            <w:shd w:val="clear" w:color="auto" w:fill="auto"/>
            <w:vAlign w:val="center"/>
          </w:tcPr>
          <w:p w14:paraId="121DCEF3" w14:textId="77777777" w:rsidR="00AC0B60" w:rsidRPr="00FD1670" w:rsidRDefault="00AC0B60" w:rsidP="00AC0B60">
            <w:pPr>
              <w:pStyle w:val="1-BodyText"/>
              <w:spacing w:after="0"/>
              <w:rPr>
                <w:sz w:val="18"/>
                <w:szCs w:val="18"/>
              </w:rPr>
            </w:pPr>
            <w:r w:rsidRPr="00FD1670">
              <w:rPr>
                <w:sz w:val="18"/>
                <w:szCs w:val="18"/>
                <w:vertAlign w:val="superscript"/>
              </w:rPr>
              <w:t>a</w:t>
            </w:r>
            <w:r w:rsidRPr="00FD1670">
              <w:rPr>
                <w:sz w:val="18"/>
                <w:szCs w:val="18"/>
              </w:rPr>
              <w:t>: Result for 24-hour mortality when tested against the resistant strain on the PBO roof panel using cone bioassays.</w:t>
            </w:r>
          </w:p>
          <w:p w14:paraId="1C990344" w14:textId="77777777" w:rsidR="00AC0B60" w:rsidRPr="00FD1670" w:rsidRDefault="00AC0B60" w:rsidP="00AC0B60">
            <w:pPr>
              <w:pStyle w:val="1-BodyText"/>
              <w:spacing w:after="0"/>
              <w:rPr>
                <w:sz w:val="18"/>
                <w:szCs w:val="18"/>
              </w:rPr>
            </w:pPr>
            <w:r w:rsidRPr="00FD1670">
              <w:rPr>
                <w:sz w:val="18"/>
                <w:szCs w:val="18"/>
                <w:vertAlign w:val="superscript"/>
              </w:rPr>
              <w:t>b</w:t>
            </w:r>
            <w:r w:rsidRPr="00FD1670">
              <w:rPr>
                <w:sz w:val="18"/>
                <w:szCs w:val="18"/>
              </w:rPr>
              <w:t>: Result for 72-hour mortality when tested against the resistant strain using tunnel tests.</w:t>
            </w:r>
          </w:p>
          <w:p w14:paraId="351F0A04" w14:textId="303D6BE5" w:rsidR="00AC0B60" w:rsidRPr="00FD1670" w:rsidRDefault="00AC0B60" w:rsidP="00AC0B60">
            <w:pPr>
              <w:pStyle w:val="1-BodyText"/>
              <w:spacing w:after="0"/>
              <w:rPr>
                <w:sz w:val="18"/>
                <w:szCs w:val="18"/>
              </w:rPr>
            </w:pPr>
            <w:r w:rsidRPr="00FD1670">
              <w:rPr>
                <w:sz w:val="18"/>
                <w:szCs w:val="18"/>
                <w:vertAlign w:val="superscript"/>
              </w:rPr>
              <w:t>c</w:t>
            </w:r>
            <w:r>
              <w:rPr>
                <w:sz w:val="18"/>
                <w:szCs w:val="18"/>
              </w:rPr>
              <w:t xml:space="preserve">: </w:t>
            </w:r>
            <w:r w:rsidRPr="00FD1670">
              <w:rPr>
                <w:sz w:val="18"/>
                <w:szCs w:val="18"/>
              </w:rPr>
              <w:t>PBO content (manufactured with 4 g/kg on roof panel. Acceptable range of 3 g/kg – 5 g/kg).</w:t>
            </w:r>
          </w:p>
          <w:p w14:paraId="02D00BC8" w14:textId="3F60F3B4" w:rsidR="00AC0B60" w:rsidRPr="00FD1670" w:rsidRDefault="00AC0B60" w:rsidP="00AC0B60">
            <w:pPr>
              <w:pStyle w:val="1-BodyText"/>
              <w:spacing w:after="0"/>
              <w:rPr>
                <w:color w:val="000000" w:themeColor="text1"/>
                <w:sz w:val="18"/>
                <w:szCs w:val="18"/>
              </w:rPr>
            </w:pPr>
            <w:r w:rsidRPr="00FD1670">
              <w:rPr>
                <w:color w:val="000000" w:themeColor="text1"/>
                <w:sz w:val="18"/>
                <w:szCs w:val="18"/>
                <w:vertAlign w:val="superscript"/>
              </w:rPr>
              <w:t>d</w:t>
            </w:r>
            <w:r>
              <w:rPr>
                <w:color w:val="000000" w:themeColor="text1"/>
                <w:sz w:val="18"/>
                <w:szCs w:val="18"/>
              </w:rPr>
              <w:t xml:space="preserve">: </w:t>
            </w:r>
            <w:proofErr w:type="spellStart"/>
            <w:r w:rsidRPr="00FD1670">
              <w:rPr>
                <w:color w:val="000000" w:themeColor="text1"/>
                <w:sz w:val="18"/>
                <w:szCs w:val="18"/>
              </w:rPr>
              <w:t>Chlorfenapyr</w:t>
            </w:r>
            <w:proofErr w:type="spellEnd"/>
            <w:r w:rsidRPr="00FD1670">
              <w:rPr>
                <w:color w:val="000000" w:themeColor="text1"/>
                <w:sz w:val="18"/>
                <w:szCs w:val="18"/>
              </w:rPr>
              <w:t xml:space="preserve"> content (manufactured with 4.8 g/kg on all panels. Acceptable range of 3.6 g/kg – 6 g/kg.).</w:t>
            </w:r>
            <w:r>
              <w:rPr>
                <w:color w:val="000000" w:themeColor="text1"/>
                <w:sz w:val="18"/>
                <w:szCs w:val="18"/>
              </w:rPr>
              <w:t xml:space="preserve"> </w:t>
            </w:r>
          </w:p>
          <w:p w14:paraId="4FF41BA6" w14:textId="29265654" w:rsidR="00AC0B60" w:rsidRPr="00BB56B8" w:rsidRDefault="00AC0B60" w:rsidP="00AC0B60">
            <w:pPr>
              <w:pStyle w:val="1-BodyText"/>
              <w:spacing w:after="0"/>
              <w:rPr>
                <w:b/>
                <w:bCs/>
                <w:sz w:val="18"/>
                <w:szCs w:val="18"/>
              </w:rPr>
            </w:pPr>
          </w:p>
        </w:tc>
      </w:tr>
    </w:tbl>
    <w:p w14:paraId="4B38DB62" w14:textId="073983DE" w:rsidR="00C12A95" w:rsidRDefault="00D0770C">
      <w:pPr>
        <w:pStyle w:val="Heading2"/>
        <w:ind w:left="720" w:hanging="720"/>
      </w:pPr>
      <w:r>
        <w:lastRenderedPageBreak/>
        <w:t>Key Risk Factors for Cohort ITN Physical Durability</w:t>
      </w:r>
    </w:p>
    <w:p w14:paraId="556E3F44" w14:textId="2A9BB3EF" w:rsidR="00C96D5D" w:rsidRDefault="00F404EF" w:rsidP="006463CC">
      <w:pPr>
        <w:pStyle w:val="1-BodyText"/>
        <w:numPr>
          <w:ilvl w:val="0"/>
          <w:numId w:val="2"/>
        </w:numPr>
        <w:spacing w:after="0"/>
      </w:pPr>
      <w:r w:rsidRPr="00DC1595">
        <w:t>As</w:t>
      </w:r>
      <w:r w:rsidR="00DC1595" w:rsidRPr="00B355E6">
        <w:t xml:space="preserve"> was</w:t>
      </w:r>
      <w:r w:rsidRPr="00DC1595">
        <w:t xml:space="preserve"> highlighted in</w:t>
      </w:r>
      <w:r w:rsidR="00DC1595" w:rsidRPr="00B355E6">
        <w:t xml:space="preserve"> the</w:t>
      </w:r>
      <w:r w:rsidR="00DC1595">
        <w:t xml:space="preserve"> 2021</w:t>
      </w:r>
      <w:r w:rsidRPr="00DC1595">
        <w:t xml:space="preserve"> </w:t>
      </w:r>
      <w:r w:rsidR="00DC1595" w:rsidRPr="00B355E6">
        <w:t>ITN Use Access Report – Cote d’Ivoire</w:t>
      </w:r>
      <w:r w:rsidR="00DC1595">
        <w:t xml:space="preserve">, </w:t>
      </w:r>
      <w:r w:rsidR="00C96D5D">
        <w:t xml:space="preserve">a seasonal analysis of ITN use would be useful </w:t>
      </w:r>
      <w:r w:rsidR="007320F8">
        <w:t xml:space="preserve">to </w:t>
      </w:r>
      <w:r w:rsidR="009A1F1B">
        <w:t>effectively develop</w:t>
      </w:r>
      <w:r w:rsidR="007320F8">
        <w:t xml:space="preserve"> and </w:t>
      </w:r>
      <w:r w:rsidR="009A1F1B">
        <w:t>accurately</w:t>
      </w:r>
      <w:r w:rsidR="007320F8">
        <w:t xml:space="preserve"> target SBC messaging, especially outside of the high malaria transmission season.</w:t>
      </w:r>
    </w:p>
    <w:p w14:paraId="4B38DB63" w14:textId="48D2D4AE" w:rsidR="00C12A95" w:rsidRDefault="00D96E2A" w:rsidP="006463CC">
      <w:pPr>
        <w:pStyle w:val="1-BodyText"/>
        <w:numPr>
          <w:ilvl w:val="0"/>
          <w:numId w:val="2"/>
        </w:numPr>
        <w:spacing w:after="0"/>
      </w:pPr>
      <w:r>
        <w:t xml:space="preserve">Very few </w:t>
      </w:r>
      <w:r w:rsidR="00255C66">
        <w:t xml:space="preserve">respondents </w:t>
      </w:r>
      <w:r w:rsidR="00207D5C">
        <w:t>received</w:t>
      </w:r>
      <w:r w:rsidR="00255C66">
        <w:t xml:space="preserve"> </w:t>
      </w:r>
      <w:r w:rsidR="00207D5C">
        <w:t>e</w:t>
      </w:r>
      <w:r w:rsidR="00D0770C">
        <w:t xml:space="preserve">xposure to net messaging in the six months preceding the </w:t>
      </w:r>
      <w:r w:rsidR="008A6367">
        <w:t>36</w:t>
      </w:r>
      <w:r w:rsidR="00D0770C">
        <w:t xml:space="preserve">-month survey round </w:t>
      </w:r>
      <w:r w:rsidR="00207D5C">
        <w:t>(</w:t>
      </w:r>
      <w:r w:rsidR="00B8115D">
        <w:t>5</w:t>
      </w:r>
      <w:r w:rsidR="00D0770C">
        <w:t xml:space="preserve">% in </w:t>
      </w:r>
      <w:proofErr w:type="spellStart"/>
      <w:r w:rsidR="00D0770C">
        <w:t>Abengourou</w:t>
      </w:r>
      <w:proofErr w:type="spellEnd"/>
      <w:r w:rsidR="00D0770C">
        <w:t xml:space="preserve"> and </w:t>
      </w:r>
      <w:r w:rsidR="00B8115D">
        <w:t>4</w:t>
      </w:r>
      <w:r w:rsidR="00D0770C">
        <w:t xml:space="preserve">% in </w:t>
      </w:r>
      <w:proofErr w:type="spellStart"/>
      <w:r w:rsidR="00D0770C">
        <w:t>Aboisso</w:t>
      </w:r>
      <w:proofErr w:type="spellEnd"/>
      <w:r w:rsidR="00207D5C">
        <w:t>)</w:t>
      </w:r>
      <w:r w:rsidR="00D0770C">
        <w:t>. While a</w:t>
      </w:r>
      <w:r w:rsidR="00A43556">
        <w:t xml:space="preserve"> comparatively</w:t>
      </w:r>
      <w:r w:rsidR="00D0770C">
        <w:t xml:space="preserve"> high proportion of respondents reported favorable attitudes towards nets generally (</w:t>
      </w:r>
      <w:r w:rsidR="00851D1B">
        <w:t>50</w:t>
      </w:r>
      <w:r w:rsidR="00D0770C">
        <w:t xml:space="preserve">% in </w:t>
      </w:r>
      <w:proofErr w:type="spellStart"/>
      <w:r w:rsidR="00D0770C">
        <w:t>Abengourou</w:t>
      </w:r>
      <w:proofErr w:type="spellEnd"/>
      <w:r w:rsidR="00D0770C">
        <w:t xml:space="preserve"> and </w:t>
      </w:r>
      <w:r w:rsidR="00851D1B">
        <w:t>43</w:t>
      </w:r>
      <w:r w:rsidR="00D0770C">
        <w:t xml:space="preserve">% in </w:t>
      </w:r>
      <w:proofErr w:type="spellStart"/>
      <w:r w:rsidR="00D0770C">
        <w:t>Aboisso</w:t>
      </w:r>
      <w:proofErr w:type="spellEnd"/>
      <w:r w:rsidR="00D0770C">
        <w:t>), very few respondents reported favorable attitudes toward net care and repair (</w:t>
      </w:r>
      <w:r w:rsidR="00950632">
        <w:t>8</w:t>
      </w:r>
      <w:r w:rsidR="00D0770C">
        <w:t xml:space="preserve">% in </w:t>
      </w:r>
      <w:proofErr w:type="spellStart"/>
      <w:r w:rsidR="00D0770C">
        <w:t>Abengourou</w:t>
      </w:r>
      <w:proofErr w:type="spellEnd"/>
      <w:r w:rsidR="00D0770C">
        <w:t xml:space="preserve"> and </w:t>
      </w:r>
      <w:r w:rsidR="00950632">
        <w:t>15</w:t>
      </w:r>
      <w:r w:rsidR="00D0770C">
        <w:t xml:space="preserve">% in </w:t>
      </w:r>
      <w:proofErr w:type="spellStart"/>
      <w:r w:rsidR="00D0770C">
        <w:t>Aboisso</w:t>
      </w:r>
      <w:proofErr w:type="spellEnd"/>
      <w:r w:rsidR="00D0770C">
        <w:t>).</w:t>
      </w:r>
    </w:p>
    <w:p w14:paraId="33716DE5" w14:textId="48BCB223" w:rsidR="00DA097D" w:rsidRDefault="00DA097D" w:rsidP="006463CC">
      <w:pPr>
        <w:pStyle w:val="1-BodyText"/>
        <w:numPr>
          <w:ilvl w:val="0"/>
          <w:numId w:val="2"/>
        </w:numPr>
        <w:spacing w:after="0"/>
      </w:pPr>
      <w:r>
        <w:t xml:space="preserve">Use of detergents and bleach during net washing can reduce the physical and chemical durability of an ITN. In both study sites, a high proportion of ITNs were washed with detergent or bleach at last wash (53% in </w:t>
      </w:r>
      <w:proofErr w:type="spellStart"/>
      <w:r>
        <w:t>Abengourou</w:t>
      </w:r>
      <w:proofErr w:type="spellEnd"/>
      <w:r>
        <w:t xml:space="preserve"> and 68% in </w:t>
      </w:r>
      <w:proofErr w:type="spellStart"/>
      <w:r>
        <w:t>Aboisso</w:t>
      </w:r>
      <w:proofErr w:type="spellEnd"/>
      <w:r>
        <w:t>).</w:t>
      </w:r>
    </w:p>
    <w:p w14:paraId="448BD9BB" w14:textId="23E825FB" w:rsidR="00D84B37" w:rsidRDefault="00CF42FA" w:rsidP="0061267F">
      <w:pPr>
        <w:pStyle w:val="1-BodyText"/>
        <w:numPr>
          <w:ilvl w:val="0"/>
          <w:numId w:val="2"/>
        </w:numPr>
      </w:pPr>
      <w:r>
        <w:t>Rodents may cause damage to ITNs.</w:t>
      </w:r>
      <w:r w:rsidR="009F27CB">
        <w:rPr>
          <w:rStyle w:val="FootnoteReference"/>
        </w:rPr>
        <w:footnoteReference w:id="11"/>
      </w:r>
      <w:r>
        <w:t xml:space="preserve"> </w:t>
      </w:r>
      <w:r w:rsidR="00F77683">
        <w:t xml:space="preserve">While only 5% and 10% of respondents in </w:t>
      </w:r>
      <w:proofErr w:type="spellStart"/>
      <w:r w:rsidR="00F77683">
        <w:t>Abengourou</w:t>
      </w:r>
      <w:proofErr w:type="spellEnd"/>
      <w:r w:rsidR="00F77683">
        <w:t xml:space="preserve"> an</w:t>
      </w:r>
      <w:r w:rsidR="000A1EFE">
        <w:t>d</w:t>
      </w:r>
      <w:r w:rsidR="00F77683">
        <w:t xml:space="preserve"> </w:t>
      </w:r>
      <w:proofErr w:type="spellStart"/>
      <w:r w:rsidR="00F77683">
        <w:t>Aboisso</w:t>
      </w:r>
      <w:proofErr w:type="spellEnd"/>
      <w:r w:rsidR="00F77683">
        <w:t xml:space="preserve"> reported seeing rodents</w:t>
      </w:r>
      <w:r w:rsidR="00F72B47">
        <w:t xml:space="preserve"> preceding the endline survey round, respectively,</w:t>
      </w:r>
      <w:r w:rsidR="00D84B37">
        <w:t xml:space="preserve"> efforts should be made to ensure rodents remain away from sleeping areas. One</w:t>
      </w:r>
      <w:r w:rsidR="00663ED9">
        <w:t xml:space="preserve"> way to deter rodents from sleeping areas is to avoid storing food </w:t>
      </w:r>
      <w:r w:rsidR="009156B4">
        <w:t>there</w:t>
      </w:r>
      <w:r w:rsidR="003800BE">
        <w:t xml:space="preserve">, a practice which was more common in </w:t>
      </w:r>
      <w:proofErr w:type="spellStart"/>
      <w:r w:rsidR="003800BE">
        <w:t>Abengourou</w:t>
      </w:r>
      <w:proofErr w:type="spellEnd"/>
      <w:r w:rsidR="003800BE">
        <w:t xml:space="preserve"> (48%) than </w:t>
      </w:r>
      <w:proofErr w:type="spellStart"/>
      <w:r w:rsidR="003800BE">
        <w:t>Aboisso</w:t>
      </w:r>
      <w:proofErr w:type="spellEnd"/>
      <w:r w:rsidR="003800BE">
        <w:t xml:space="preserve"> (19%;</w:t>
      </w:r>
      <w:r w:rsidR="0061267F">
        <w:t xml:space="preserve"> p=0.019).</w:t>
      </w:r>
    </w:p>
    <w:p w14:paraId="4B38DB66" w14:textId="1FA5335F" w:rsidR="00C12A95" w:rsidRDefault="00D0770C" w:rsidP="006463CC">
      <w:pPr>
        <w:pStyle w:val="1-BodyText"/>
      </w:pPr>
      <w:r>
        <w:br w:type="page"/>
      </w:r>
    </w:p>
    <w:p w14:paraId="4B38DB67" w14:textId="55A3049D" w:rsidR="00C12A95" w:rsidRDefault="00D0770C">
      <w:pPr>
        <w:pStyle w:val="Heading2"/>
        <w:ind w:left="720" w:hanging="720"/>
      </w:pPr>
      <w:r>
        <w:lastRenderedPageBreak/>
        <w:t>Cohort ITN Survival in Serviceable Condition</w:t>
      </w:r>
    </w:p>
    <w:p w14:paraId="288E382E" w14:textId="7BE9A045" w:rsidR="003A3500" w:rsidRDefault="003A3500" w:rsidP="00E47528">
      <w:pPr>
        <w:pStyle w:val="1-BodyText"/>
      </w:pPr>
      <w:r>
        <w:t>To accurately calculate estimated median useful life, the percentage of all cohort nets surviving in serviceable condition must be measured at below 85% for at least two survey rounds</w:t>
      </w:r>
      <w:r w:rsidR="00D27040">
        <w:t>.</w:t>
      </w:r>
      <w:r w:rsidR="005A44D4">
        <w:rPr>
          <w:rStyle w:val="FootnoteReference"/>
        </w:rPr>
        <w:footnoteReference w:id="12"/>
      </w:r>
      <w:r>
        <w:t xml:space="preserve"> Even at study endline, 85.8% (95 CI: 77.8% – 93.1%) of </w:t>
      </w:r>
      <w:r w:rsidR="00F4133A">
        <w:t xml:space="preserve">cohort </w:t>
      </w:r>
      <w:r>
        <w:t xml:space="preserve">ITNs in </w:t>
      </w:r>
      <w:proofErr w:type="spellStart"/>
      <w:r>
        <w:t>Abengourou</w:t>
      </w:r>
      <w:proofErr w:type="spellEnd"/>
      <w:r>
        <w:t xml:space="preserve"> survived in serviceable condition. Therefore, estimated</w:t>
      </w:r>
      <w:r w:rsidR="00F4133A">
        <w:t xml:space="preserve"> median</w:t>
      </w:r>
      <w:r>
        <w:t xml:space="preserve"> useful life for </w:t>
      </w:r>
      <w:proofErr w:type="spellStart"/>
      <w:r>
        <w:t>PermaNet</w:t>
      </w:r>
      <w:proofErr w:type="spellEnd"/>
      <w:r>
        <w:t xml:space="preserve">® 3.0 ITNs </w:t>
      </w:r>
      <w:r w:rsidR="0001547F">
        <w:t>could</w:t>
      </w:r>
      <w:r>
        <w:t xml:space="preserve"> not</w:t>
      </w:r>
      <w:r w:rsidR="0001547F">
        <w:t xml:space="preserve"> be</w:t>
      </w:r>
      <w:r>
        <w:t xml:space="preserve"> calculated</w:t>
      </w:r>
      <w:r w:rsidR="00F53217">
        <w:t xml:space="preserve"> in that location</w:t>
      </w:r>
      <w:r>
        <w:t xml:space="preserve">. </w:t>
      </w:r>
    </w:p>
    <w:p w14:paraId="62D0B2D5" w14:textId="033B4DF6" w:rsidR="002E7221" w:rsidRDefault="003B60F8" w:rsidP="00E47528">
      <w:pPr>
        <w:pStyle w:val="1-BodyText"/>
      </w:pPr>
      <w:r>
        <w:t xml:space="preserve">At the 24-month survey round, 84.5% (95% CI: 75.3% - 90.7%) of Interceptor® G2 ITNs </w:t>
      </w:r>
      <w:r w:rsidR="00836D6B">
        <w:t xml:space="preserve">in </w:t>
      </w:r>
      <w:proofErr w:type="spellStart"/>
      <w:r w:rsidR="00836D6B">
        <w:t>Aboisso</w:t>
      </w:r>
      <w:proofErr w:type="spellEnd"/>
      <w:r>
        <w:t xml:space="preserve"> survived in serviceable condition, which decreased to 73.1% (95% CI: 62.1% - 81.8%) </w:t>
      </w:r>
      <w:r w:rsidR="00B758F5">
        <w:t>by</w:t>
      </w:r>
      <w:r w:rsidR="00C1172F">
        <w:t xml:space="preserve"> study endline</w:t>
      </w:r>
      <w:r>
        <w:t xml:space="preserve">. </w:t>
      </w:r>
      <w:r w:rsidR="00D0770C">
        <w:t>Th</w:t>
      </w:r>
      <w:r w:rsidR="003520E8">
        <w:t>e below</w:t>
      </w:r>
      <w:r w:rsidR="00D0770C">
        <w:t xml:space="preserve"> chart plots the proportion of </w:t>
      </w:r>
      <w:r w:rsidR="00036F14">
        <w:t xml:space="preserve">Interceptor® G2 ITNs </w:t>
      </w:r>
      <w:r w:rsidR="00D0770C">
        <w:t>surviving in serviceable condition against hypothetical survival curves for nets lasting one to four years using the survival data from baseline, 12-, 24-</w:t>
      </w:r>
      <w:r w:rsidR="0052519E">
        <w:t>, and 36-</w:t>
      </w:r>
      <w:r w:rsidR="00D0770C">
        <w:t xml:space="preserve">month survey rounds. </w:t>
      </w:r>
      <w:r w:rsidR="0073387A">
        <w:t>The</w:t>
      </w:r>
      <w:r w:rsidR="00A84078" w:rsidRPr="00F226AD">
        <w:t xml:space="preserve"> estimated median useful life </w:t>
      </w:r>
      <w:r w:rsidR="00A84078">
        <w:t>of</w:t>
      </w:r>
      <w:r w:rsidR="00A84078" w:rsidRPr="00F226AD">
        <w:t xml:space="preserve"> </w:t>
      </w:r>
      <w:r w:rsidR="00A84078">
        <w:t>Interceptor® G2 ITNs</w:t>
      </w:r>
      <w:r w:rsidR="00A84078" w:rsidRPr="00F226AD">
        <w:t xml:space="preserve"> in </w:t>
      </w:r>
      <w:proofErr w:type="spellStart"/>
      <w:r w:rsidR="00A84078">
        <w:t>Aboisso</w:t>
      </w:r>
      <w:proofErr w:type="spellEnd"/>
      <w:r w:rsidR="00A84078">
        <w:t xml:space="preserve"> was</w:t>
      </w:r>
      <w:r w:rsidR="00A84078" w:rsidRPr="00F226AD">
        <w:t xml:space="preserve"> </w:t>
      </w:r>
      <w:r w:rsidR="00A84078">
        <w:t>4.8</w:t>
      </w:r>
      <w:r w:rsidR="00A84078" w:rsidRPr="00F226AD">
        <w:t xml:space="preserve"> years</w:t>
      </w:r>
      <w:r w:rsidR="00A84078">
        <w:t xml:space="preserve"> (</w:t>
      </w:r>
      <w:r w:rsidR="00A84078" w:rsidRPr="002948BF">
        <w:t xml:space="preserve">95% CI: </w:t>
      </w:r>
      <w:r w:rsidR="002948BF" w:rsidRPr="002948BF">
        <w:t>3</w:t>
      </w:r>
      <w:r w:rsidR="00A84078" w:rsidRPr="002948BF">
        <w:t>.</w:t>
      </w:r>
      <w:r w:rsidR="002948BF" w:rsidRPr="002948BF">
        <w:t>7</w:t>
      </w:r>
      <w:r w:rsidR="00A84078" w:rsidRPr="002948BF">
        <w:t>-</w:t>
      </w:r>
      <w:r w:rsidR="002948BF" w:rsidRPr="002948BF">
        <w:t>6</w:t>
      </w:r>
      <w:r w:rsidR="00A84078" w:rsidRPr="002948BF">
        <w:t>.</w:t>
      </w:r>
      <w:r w:rsidR="002948BF" w:rsidRPr="002948BF">
        <w:t>2</w:t>
      </w:r>
      <w:r w:rsidR="00A84078">
        <w:t>)</w:t>
      </w:r>
      <w:r w:rsidR="007E7C42">
        <w:t>.</w:t>
      </w:r>
      <w:r w:rsidR="007E7C42" w:rsidRPr="007E7C42">
        <w:t xml:space="preserve"> </w:t>
      </w:r>
      <w:r w:rsidR="000C30E8">
        <w:t>While the percentage of surviving nets in serviceable condition was technically below 85% for two survey rounds,</w:t>
      </w:r>
      <w:r w:rsidR="000C30E8" w:rsidRPr="00A1170C">
        <w:t xml:space="preserve"> </w:t>
      </w:r>
      <w:r w:rsidR="000C30E8">
        <w:t>estimated median useful life should be interpreted with caution</w:t>
      </w:r>
      <w:r w:rsidR="0073532E">
        <w:t>,</w:t>
      </w:r>
      <w:r w:rsidR="000C30E8">
        <w:t xml:space="preserve"> </w:t>
      </w:r>
      <w:r w:rsidR="002741AB">
        <w:t xml:space="preserve">as the 24-month </w:t>
      </w:r>
      <w:r w:rsidR="00E776B9">
        <w:t xml:space="preserve">survival in serviceable condition point </w:t>
      </w:r>
      <w:r w:rsidR="002741AB">
        <w:t>estimate bordered the 85% threshold</w:t>
      </w:r>
      <w:r w:rsidR="00BC3911">
        <w:t>,</w:t>
      </w:r>
      <w:r w:rsidR="007B134D">
        <w:t xml:space="preserve"> </w:t>
      </w:r>
      <w:r w:rsidR="002E7221">
        <w:t>with</w:t>
      </w:r>
      <w:r w:rsidR="007B134D">
        <w:t xml:space="preserve"> the upper bound of the confidence interval </w:t>
      </w:r>
      <w:r w:rsidR="002E7221">
        <w:t>above the threshold</w:t>
      </w:r>
      <w:r w:rsidR="009C5ABD">
        <w:t>.</w:t>
      </w:r>
      <w:r w:rsidR="00F2085F">
        <w:rPr>
          <w:rStyle w:val="FootnoteReference"/>
        </w:rPr>
        <w:footnoteReference w:id="13"/>
      </w:r>
    </w:p>
    <w:p w14:paraId="259F8C5F" w14:textId="77777777" w:rsidR="008C3134" w:rsidRDefault="00754490" w:rsidP="00BB56B8">
      <w:pPr>
        <w:pBdr>
          <w:top w:val="nil"/>
          <w:left w:val="nil"/>
          <w:bottom w:val="nil"/>
          <w:right w:val="nil"/>
          <w:between w:val="nil"/>
        </w:pBdr>
        <w:jc w:val="center"/>
        <w:rPr>
          <w:rFonts w:ascii="Gill Sans" w:hAnsi="Gill Sans"/>
          <w:i/>
          <w:color w:val="000000"/>
        </w:rPr>
      </w:pPr>
      <w:r>
        <w:rPr>
          <w:noProof/>
        </w:rPr>
        <mc:AlternateContent>
          <mc:Choice Requires="wps">
            <w:drawing>
              <wp:anchor distT="0" distB="0" distL="114300" distR="114300" simplePos="0" relativeHeight="251658244" behindDoc="0" locked="0" layoutInCell="1" allowOverlap="1" wp14:anchorId="323F31BD" wp14:editId="4BC07349">
                <wp:simplePos x="0" y="0"/>
                <wp:positionH relativeFrom="column">
                  <wp:posOffset>725805</wp:posOffset>
                </wp:positionH>
                <wp:positionV relativeFrom="paragraph">
                  <wp:posOffset>1844675</wp:posOffset>
                </wp:positionV>
                <wp:extent cx="1076325" cy="514350"/>
                <wp:effectExtent l="0" t="933450" r="28575" b="19050"/>
                <wp:wrapNone/>
                <wp:docPr id="2" name="TextBox 1">
                  <a:extLst xmlns:a="http://schemas.openxmlformats.org/drawingml/2006/main">
                    <a:ext uri="{FF2B5EF4-FFF2-40B4-BE49-F238E27FC236}">
                      <a16:creationId xmlns:a16="http://schemas.microsoft.com/office/drawing/2014/main" id="{E4C94458-D456-01B5-0D1F-7E58A057933B}"/>
                    </a:ext>
                  </a:extLst>
                </wp:docPr>
                <wp:cNvGraphicFramePr/>
                <a:graphic xmlns:a="http://schemas.openxmlformats.org/drawingml/2006/main">
                  <a:graphicData uri="http://schemas.microsoft.com/office/word/2010/wordprocessingShape">
                    <wps:wsp>
                      <wps:cNvSpPr txBox="1"/>
                      <wps:spPr bwMode="auto">
                        <a:xfrm>
                          <a:off x="0" y="0"/>
                          <a:ext cx="1076325" cy="514350"/>
                        </a:xfrm>
                        <a:prstGeom prst="wedgeRoundRectCallout">
                          <a:avLst>
                            <a:gd name="adj1" fmla="val 32014"/>
                            <a:gd name="adj2" fmla="val -224220"/>
                            <a:gd name="adj3" fmla="val 16667"/>
                          </a:avLst>
                        </a:prstGeom>
                        <a:ln w="12700">
                          <a:solidFill>
                            <a:srgbClr val="C0504D"/>
                          </a:solidFill>
                        </a:ln>
                      </wps:spPr>
                      <wps:style>
                        <a:lnRef idx="2">
                          <a:schemeClr val="accent2"/>
                        </a:lnRef>
                        <a:fillRef idx="1">
                          <a:schemeClr val="lt1"/>
                        </a:fillRef>
                        <a:effectRef idx="0">
                          <a:schemeClr val="accent2"/>
                        </a:effectRef>
                        <a:fontRef idx="minor">
                          <a:schemeClr val="dk1"/>
                        </a:fontRef>
                      </wps:style>
                      <wps:txbx>
                        <w:txbxContent>
                          <w:p w14:paraId="3A32212E" w14:textId="77777777" w:rsidR="00754490" w:rsidRPr="00BB56B8" w:rsidRDefault="00754490" w:rsidP="00754490">
                            <w:pPr>
                              <w:jc w:val="center"/>
                              <w:rPr>
                                <w:rFonts w:asciiTheme="minorHAnsi" w:hAnsi="Calibri" w:cstheme="minorBidi"/>
                                <w:color w:val="000000" w:themeColor="dark1"/>
                                <w:sz w:val="16"/>
                                <w:szCs w:val="16"/>
                              </w:rPr>
                            </w:pPr>
                            <w:r w:rsidRPr="00BB56B8">
                              <w:rPr>
                                <w:rFonts w:asciiTheme="minorHAnsi" w:hAnsi="Calibri" w:cstheme="minorBidi"/>
                                <w:color w:val="000000" w:themeColor="dark1"/>
                                <w:sz w:val="16"/>
                                <w:szCs w:val="16"/>
                              </w:rPr>
                              <w:t>Aboisso median survival:  4.8 years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23F31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Box 1" o:spid="_x0000_s1026" type="#_x0000_t62" style="position:absolute;left:0;text-align:left;margin-left:57.15pt;margin-top:145.25pt;width:84.75pt;height:4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" adj="17715,-37632" fillcolor="white [3201]" strokecolor="#c0504d" strokeweight="1pt">
                <v:textbox>
                  <w:txbxContent>
                    <w:p w14:paraId="3A32212E" w14:textId="77777777" w:rsidR="00754490" w:rsidRPr="00BB56B8" w:rsidRDefault="00754490" w:rsidP="00754490">
                      <w:pPr>
                        <w:jc w:val="center"/>
                        <w:rPr>
                          <w:rFonts w:asciiTheme="minorHAnsi" w:hAnsi="Calibri" w:cstheme="minorBidi"/>
                          <w:color w:val="000000" w:themeColor="dark1"/>
                          <w:sz w:val="16"/>
                          <w:szCs w:val="16"/>
                        </w:rPr>
                      </w:pPr>
                      <w:r w:rsidRPr="00BB56B8">
                        <w:rPr>
                          <w:rFonts w:asciiTheme="minorHAnsi" w:hAnsi="Calibri" w:cstheme="minorBidi"/>
                          <w:color w:val="000000" w:themeColor="dark1"/>
                          <w:sz w:val="16"/>
                          <w:szCs w:val="16"/>
                        </w:rPr>
                        <w:t>Aboisso median survival:  4.8 years</w:t>
                      </w:r>
                    </w:p>
                  </w:txbxContent>
                </v:textbox>
              </v:shape>
            </w:pict>
          </mc:Fallback>
        </mc:AlternateContent>
      </w:r>
      <w:r w:rsidR="007D0F7C">
        <w:rPr>
          <w:noProof/>
        </w:rPr>
        <w:drawing>
          <wp:inline distT="0" distB="0" distL="0" distR="0" wp14:anchorId="75418728" wp14:editId="6DEB0CBA">
            <wp:extent cx="6253341" cy="3413478"/>
            <wp:effectExtent l="0" t="0" r="0" b="0"/>
            <wp:docPr id="1480666407" name="Chart 1">
              <a:extLst xmlns:a="http://schemas.openxmlformats.org/drawingml/2006/main">
                <a:ext uri="{FF2B5EF4-FFF2-40B4-BE49-F238E27FC236}">
                  <a16:creationId xmlns:a16="http://schemas.microsoft.com/office/drawing/2014/main" id="{DBE00025-36FD-4746-8FDC-F5F07D2D3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599FB2" w14:textId="77777777" w:rsidR="003D7C1A" w:rsidRDefault="003D7C1A" w:rsidP="00BB56B8">
      <w:pPr>
        <w:pBdr>
          <w:top w:val="nil"/>
          <w:left w:val="nil"/>
          <w:bottom w:val="nil"/>
          <w:right w:val="nil"/>
          <w:between w:val="nil"/>
        </w:pBdr>
        <w:jc w:val="center"/>
        <w:rPr>
          <w:rFonts w:ascii="Gill Sans" w:hAnsi="Gill Sans"/>
          <w:i/>
          <w:color w:val="000000"/>
        </w:rPr>
      </w:pPr>
    </w:p>
    <w:p w14:paraId="015F3047" w14:textId="77777777" w:rsidR="003D7C1A" w:rsidRDefault="003D7C1A" w:rsidP="00BB56B8">
      <w:pPr>
        <w:pBdr>
          <w:top w:val="nil"/>
          <w:left w:val="nil"/>
          <w:bottom w:val="nil"/>
          <w:right w:val="nil"/>
          <w:between w:val="nil"/>
        </w:pBdr>
        <w:jc w:val="center"/>
        <w:rPr>
          <w:rFonts w:ascii="Gill Sans" w:hAnsi="Gill Sans"/>
          <w:i/>
          <w:color w:val="000000"/>
        </w:rPr>
        <w:sectPr w:rsidR="003D7C1A" w:rsidSect="00A603DA">
          <w:footerReference w:type="default" r:id="rId21"/>
          <w:pgSz w:w="12240" w:h="15840"/>
          <w:pgMar w:top="1440" w:right="1152" w:bottom="1440" w:left="1152" w:header="720" w:footer="720" w:gutter="0"/>
          <w:pgNumType w:start="1"/>
          <w:cols w:space="720"/>
        </w:sectPr>
      </w:pPr>
    </w:p>
    <w:p w14:paraId="009C3837" w14:textId="77777777" w:rsidR="0001313F" w:rsidRDefault="0001313F" w:rsidP="0001313F">
      <w:pPr>
        <w:pStyle w:val="Heading2"/>
        <w:ind w:left="720" w:hanging="720"/>
        <w:jc w:val="center"/>
      </w:pPr>
      <w:r>
        <w:lastRenderedPageBreak/>
        <w:t xml:space="preserve">Bioassay and Chemical Results: </w:t>
      </w:r>
      <w:proofErr w:type="spellStart"/>
      <w:r>
        <w:t>PermaNet</w:t>
      </w:r>
      <w:proofErr w:type="spellEnd"/>
      <w:r>
        <w:t>® 3.0 Brand ITNs</w:t>
      </w:r>
    </w:p>
    <w:p w14:paraId="6B4ADCFD" w14:textId="55D2702E" w:rsidR="0001313F" w:rsidRDefault="00BC3594" w:rsidP="00BC3594">
      <w:pPr>
        <w:pStyle w:val="1-BodyText"/>
      </w:pPr>
      <w:r>
        <w:t xml:space="preserve">The </w:t>
      </w:r>
      <w:proofErr w:type="spellStart"/>
      <w:r>
        <w:t>PermaNet</w:t>
      </w:r>
      <w:proofErr w:type="spellEnd"/>
      <w:r>
        <w:t xml:space="preserve">® 3.0 brand is a pyrethroid + PBO synergist ITN with deltamethrin-only on the net sides and deltamethrin + PBO on the roof. Susceptibility </w:t>
      </w:r>
      <w:sdt>
        <w:sdtPr>
          <w:tag w:val="goog_rdk_9"/>
          <w:id w:val="660126446"/>
        </w:sdtPr>
        <w:sdtContent/>
      </w:sdt>
      <w:sdt>
        <w:sdtPr>
          <w:tag w:val="goog_rdk_10"/>
          <w:id w:val="-1875294831"/>
        </w:sdtPr>
        <w:sdtContent>
          <w:r>
            <w:t>test data</w:t>
          </w:r>
        </w:sdtContent>
      </w:sdt>
      <w:r>
        <w:t xml:space="preserve"> confirmed resistance of wild strain </w:t>
      </w:r>
      <w:r>
        <w:rPr>
          <w:i/>
        </w:rPr>
        <w:t>An. gambiae</w:t>
      </w:r>
      <w:r>
        <w:t xml:space="preserve"> </w:t>
      </w:r>
      <w:proofErr w:type="spellStart"/>
      <w:r>
        <w:t>s.l.</w:t>
      </w:r>
      <w:proofErr w:type="spellEnd"/>
      <w:r>
        <w:t xml:space="preserve"> to deltamethrin 0.05%, with 24-hour mortality at 6%. Pre-exposure to PBO synergist before deltamethrin showed a 78% increase in mortality compared to deltamethrin alone. </w:t>
      </w:r>
      <w:r w:rsidRPr="004E1C74">
        <w:t xml:space="preserve">At 36 months, 24-hour mortality of </w:t>
      </w:r>
      <w:proofErr w:type="spellStart"/>
      <w:r w:rsidRPr="004E1C74">
        <w:t>PermaNet</w:t>
      </w:r>
      <w:proofErr w:type="spellEnd"/>
      <w:r w:rsidRPr="004E1C74">
        <w:t xml:space="preserve">® 3.0 field-collected ITN roof samples against the pyrethroid-resistant </w:t>
      </w:r>
      <w:r w:rsidRPr="00422D33">
        <w:rPr>
          <w:i/>
          <w:iCs/>
        </w:rPr>
        <w:t>An. gambiae</w:t>
      </w:r>
      <w:r w:rsidRPr="004E1C74">
        <w:t xml:space="preserve"> </w:t>
      </w:r>
      <w:proofErr w:type="spellStart"/>
      <w:r w:rsidRPr="004E1C74">
        <w:t>s.l.</w:t>
      </w:r>
      <w:proofErr w:type="spellEnd"/>
      <w:r w:rsidRPr="004E1C74">
        <w:t xml:space="preserve"> colony </w:t>
      </w:r>
      <w:r>
        <w:t>dropped to</w:t>
      </w:r>
      <w:r w:rsidRPr="004E1C74">
        <w:t xml:space="preserve"> 12%, </w:t>
      </w:r>
      <w:r>
        <w:t>substantially lower than</w:t>
      </w:r>
      <w:r w:rsidRPr="004E1C74">
        <w:t xml:space="preserve"> rates recorded </w:t>
      </w:r>
      <w:r>
        <w:t>from</w:t>
      </w:r>
      <w:r w:rsidRPr="004E1C74">
        <w:t xml:space="preserve"> baseline to 24 months (52-46%)</w:t>
      </w:r>
      <w:r>
        <w:t>. Low mortality is likely attributed to the 73% reduction in mean PBO chemical content on roof samples (6.81 g/kg)</w:t>
      </w:r>
      <w:r w:rsidR="00C02E90">
        <w:t>,</w:t>
      </w:r>
      <w:r>
        <w:t xml:space="preserve"> compared to the manufacturer's target dose of 25 g/kg at endline. Mean roof deltamethrin content was 3.87 g/kg, which was within the 25% manufacturer buffer. Mortality after 24-hours for field side panels, which do not incorporate PBO, remained low across survey rounds. Mean side panel deltamethrin was measured at </w:t>
      </w:r>
      <w:r w:rsidRPr="003B3DFA">
        <w:t>0.87 g/kg at 36 months</w:t>
      </w:r>
      <w:r>
        <w:t>, a 59% reduction compared to the manufacturer’s target dose of 2.1 g/kg</w:t>
      </w:r>
      <w:r w:rsidR="00543031">
        <w:t>.</w:t>
      </w:r>
    </w:p>
    <w:p w14:paraId="320CBBB4" w14:textId="2033F30A" w:rsidR="0001313F" w:rsidRDefault="0001313F" w:rsidP="0001313F">
      <w:pPr>
        <w:pBdr>
          <w:top w:val="nil"/>
          <w:left w:val="nil"/>
          <w:bottom w:val="nil"/>
          <w:right w:val="nil"/>
          <w:between w:val="nil"/>
        </w:pBdr>
        <w:rPr>
          <w:rFonts w:ascii="Gill Sans" w:hAnsi="Gill Sans"/>
          <w:i/>
          <w:color w:val="000000"/>
        </w:rPr>
      </w:pPr>
      <w:r>
        <w:rPr>
          <w:noProof/>
        </w:rPr>
        <w:drawing>
          <wp:anchor distT="0" distB="0" distL="114300" distR="114300" simplePos="0" relativeHeight="251658245" behindDoc="0" locked="0" layoutInCell="1" allowOverlap="1" wp14:anchorId="714B0019" wp14:editId="6420CA99">
            <wp:simplePos x="0" y="0"/>
            <wp:positionH relativeFrom="column">
              <wp:posOffset>4190365</wp:posOffset>
            </wp:positionH>
            <wp:positionV relativeFrom="paragraph">
              <wp:posOffset>859790</wp:posOffset>
            </wp:positionV>
            <wp:extent cx="3804920" cy="2768600"/>
            <wp:effectExtent l="0" t="0" r="5080" b="0"/>
            <wp:wrapSquare wrapText="bothSides"/>
            <wp:docPr id="1104153166" name="Picture 6" descr="A graph with blue and green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53166" name="Picture 6" descr="A graph with blue and green and orange line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04920" cy="276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6" behindDoc="0" locked="0" layoutInCell="1" hidden="0" allowOverlap="1" wp14:anchorId="3DA119C1" wp14:editId="6865DD93">
                <wp:simplePos x="0" y="0"/>
                <wp:positionH relativeFrom="column">
                  <wp:posOffset>4191000</wp:posOffset>
                </wp:positionH>
                <wp:positionV relativeFrom="paragraph">
                  <wp:posOffset>6350</wp:posOffset>
                </wp:positionV>
                <wp:extent cx="4061460" cy="691515"/>
                <wp:effectExtent l="0" t="0" r="15240" b="13335"/>
                <wp:wrapSquare wrapText="bothSides" distT="45720" distB="45720" distL="114300" distR="114300"/>
                <wp:docPr id="41" name="Rectangle 41"/>
                <wp:cNvGraphicFramePr/>
                <a:graphic xmlns:a="http://schemas.openxmlformats.org/drawingml/2006/main">
                  <a:graphicData uri="http://schemas.microsoft.com/office/word/2010/wordprocessingShape">
                    <wps:wsp>
                      <wps:cNvSpPr/>
                      <wps:spPr>
                        <a:xfrm>
                          <a:off x="0" y="0"/>
                          <a:ext cx="4061460" cy="69151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381BDE4" w14:textId="77777777" w:rsidR="0001313F" w:rsidRDefault="0001313F" w:rsidP="0001313F">
                            <w:pPr>
                              <w:pStyle w:val="1-BodyTextBoldCentered"/>
                            </w:pPr>
                            <w:r>
                              <w:t>Side/roof deltamethrin content and roof PBO content from Abengourou District, Cote d’Ivoire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A119C1" id="Rectangle 41" o:spid="_x0000_s1027" style="position:absolute;margin-left:330pt;margin-top:.5pt;width:319.8pt;height:54.4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" strokecolor="white">
                <v:stroke startarrowwidth="narrow" startarrowlength="short" endarrowwidth="narrow" endarrowlength="short"/>
                <v:textbox inset="2.53958mm,1.2694mm,2.53958mm,1.2694mm">
                  <w:txbxContent>
                    <w:p w14:paraId="6381BDE4" w14:textId="77777777" w:rsidR="0001313F" w:rsidRDefault="0001313F" w:rsidP="0001313F">
                      <w:pPr>
                        <w:pStyle w:val="1-BodyTextBoldCentered"/>
                      </w:pPr>
                      <w:r>
                        <w:t>Side/roof deltamethrin content and roof PBO content from Abengourou District, Cote d’Ivoire</w:t>
                      </w:r>
                    </w:p>
                  </w:txbxContent>
                </v:textbox>
                <w10:wrap type="square"/>
              </v:rect>
            </w:pict>
          </mc:Fallback>
        </mc:AlternateContent>
      </w:r>
      <w:r>
        <w:rPr>
          <w:noProof/>
        </w:rPr>
        <mc:AlternateContent>
          <mc:Choice Requires="wps">
            <w:drawing>
              <wp:inline distT="0" distB="0" distL="0" distR="0" wp14:anchorId="26F22FCA" wp14:editId="024247DF">
                <wp:extent cx="3994785" cy="688975"/>
                <wp:effectExtent l="0" t="0" r="24765" b="15875"/>
                <wp:docPr id="814919857" name="Rectangle 814919857"/>
                <wp:cNvGraphicFramePr/>
                <a:graphic xmlns:a="http://schemas.openxmlformats.org/drawingml/2006/main">
                  <a:graphicData uri="http://schemas.microsoft.com/office/word/2010/wordprocessingShape">
                    <wps:wsp>
                      <wps:cNvSpPr/>
                      <wps:spPr>
                        <a:xfrm>
                          <a:off x="0" y="0"/>
                          <a:ext cx="3994785" cy="6889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79A2CD8" w14:textId="77777777" w:rsidR="0001313F" w:rsidRDefault="0001313F" w:rsidP="0001313F">
                            <w:pPr>
                              <w:pStyle w:val="1-BodyTextBoldCentered"/>
                            </w:pPr>
                            <w:r>
                              <w:t xml:space="preserve">24-hour mortality for field/new PermaNet® 3.0 brand side and roof ITNs taken from Abengourou District, Cote d’Ivoire against resistant </w:t>
                            </w:r>
                            <w:r>
                              <w:rPr>
                                <w:i/>
                              </w:rPr>
                              <w:t>An. gambiae</w:t>
                            </w:r>
                            <w:r>
                              <w:t xml:space="preserve"> s.l. mosquitos</w:t>
                            </w:r>
                          </w:p>
                        </w:txbxContent>
                      </wps:txbx>
                      <wps:bodyPr spcFirstLastPara="1" wrap="square" lIns="91425" tIns="45700" rIns="91425" bIns="45700" anchor="t" anchorCtr="0">
                        <a:noAutofit/>
                      </wps:bodyPr>
                    </wps:wsp>
                  </a:graphicData>
                </a:graphic>
              </wp:inline>
            </w:drawing>
          </mc:Choice>
          <mc:Fallback>
            <w:pict>
              <v:rect w14:anchorId="26F22FCA" id="Rectangle 814919857" o:spid="_x0000_s1028" style="width:314.55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" strokecolor="white">
                <v:stroke startarrowwidth="narrow" startarrowlength="short" endarrowwidth="narrow" endarrowlength="short"/>
                <v:textbox inset="2.53958mm,1.2694mm,2.53958mm,1.2694mm">
                  <w:txbxContent>
                    <w:p w14:paraId="679A2CD8" w14:textId="77777777" w:rsidR="0001313F" w:rsidRDefault="0001313F" w:rsidP="0001313F">
                      <w:pPr>
                        <w:pStyle w:val="1-BodyTextBoldCentered"/>
                      </w:pPr>
                      <w:r>
                        <w:t xml:space="preserve">24-hour mortality for field/new PermaNet® 3.0 brand side and roof ITNs taken from Abengourou District, Cote d’Ivoire against resistant </w:t>
                      </w:r>
                      <w:r>
                        <w:rPr>
                          <w:i/>
                        </w:rPr>
                        <w:t>An. gambiae</w:t>
                      </w:r>
                      <w:r>
                        <w:t xml:space="preserve"> s.l. mosquitos</w:t>
                      </w:r>
                    </w:p>
                  </w:txbxContent>
                </v:textbox>
                <w10:anchorlock/>
              </v:rect>
            </w:pict>
          </mc:Fallback>
        </mc:AlternateContent>
      </w:r>
    </w:p>
    <w:p w14:paraId="2D89A5E9" w14:textId="0BE4F0A9" w:rsidR="0001313F" w:rsidRDefault="0001313F" w:rsidP="0001313F">
      <w:pPr>
        <w:pBdr>
          <w:top w:val="nil"/>
          <w:left w:val="nil"/>
          <w:bottom w:val="nil"/>
          <w:right w:val="nil"/>
          <w:between w:val="nil"/>
        </w:pBdr>
        <w:rPr>
          <w:rFonts w:ascii="Gill Sans" w:hAnsi="Gill Sans"/>
          <w:i/>
          <w:color w:val="000000"/>
        </w:rPr>
      </w:pPr>
      <w:r>
        <w:rPr>
          <w:noProof/>
        </w:rPr>
        <mc:AlternateContent>
          <mc:Choice Requires="wps">
            <w:drawing>
              <wp:anchor distT="45720" distB="45720" distL="114300" distR="114300" simplePos="0" relativeHeight="251658248" behindDoc="0" locked="0" layoutInCell="1" hidden="0" allowOverlap="1" wp14:anchorId="4DC41976" wp14:editId="7711ADD0">
                <wp:simplePos x="0" y="0"/>
                <wp:positionH relativeFrom="column">
                  <wp:posOffset>4360545</wp:posOffset>
                </wp:positionH>
                <wp:positionV relativeFrom="paragraph">
                  <wp:posOffset>3004185</wp:posOffset>
                </wp:positionV>
                <wp:extent cx="3724275" cy="904875"/>
                <wp:effectExtent l="0" t="0" r="0" b="0"/>
                <wp:wrapSquare wrapText="bothSides" distT="45720" distB="45720" distL="114300" distR="114300"/>
                <wp:docPr id="39" name="Rectangle 39"/>
                <wp:cNvGraphicFramePr/>
                <a:graphic xmlns:a="http://schemas.openxmlformats.org/drawingml/2006/main">
                  <a:graphicData uri="http://schemas.microsoft.com/office/word/2010/wordprocessingShape">
                    <wps:wsp>
                      <wps:cNvSpPr/>
                      <wps:spPr>
                        <a:xfrm>
                          <a:off x="0" y="0"/>
                          <a:ext cx="3724275" cy="90487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26F4911" w14:textId="77777777" w:rsidR="0001313F" w:rsidRDefault="0001313F" w:rsidP="0001313F">
                            <w:pPr>
                              <w:pStyle w:val="1-BodyTextItalics"/>
                            </w:pPr>
                            <w:r>
                              <w:t>Box plot shows the median (horizontal line), interquartile range (box), adjacent values (whiskers), outliers (circles), and for each legend, bold line dashes specify manufacturer threshold (with fine line dashes indicating acceptable range).</w:t>
                            </w:r>
                          </w:p>
                        </w:txbxContent>
                      </wps:txbx>
                      <wps:bodyPr spcFirstLastPara="1" wrap="square" lIns="91425" tIns="45700" rIns="91425" bIns="45700" anchor="t" anchorCtr="0">
                        <a:noAutofit/>
                      </wps:bodyPr>
                    </wps:wsp>
                  </a:graphicData>
                </a:graphic>
              </wp:anchor>
            </w:drawing>
          </mc:Choice>
          <mc:Fallback>
            <w:pict>
              <v:rect w14:anchorId="4DC41976" id="Rectangle 39" o:spid="_x0000_s1029" style="position:absolute;margin-left:343.35pt;margin-top:236.55pt;width:293.25pt;height:71.2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" strokecolor="white">
                <v:stroke startarrowwidth="narrow" startarrowlength="short" endarrowwidth="narrow" endarrowlength="short"/>
                <v:textbox inset="2.53958mm,1.2694mm,2.53958mm,1.2694mm">
                  <w:txbxContent>
                    <w:p w14:paraId="326F4911" w14:textId="77777777" w:rsidR="0001313F" w:rsidRDefault="0001313F" w:rsidP="0001313F">
                      <w:pPr>
                        <w:pStyle w:val="1-BodyTextItalics"/>
                      </w:pPr>
                      <w:r>
                        <w:t>Box plot shows the median (horizontal line), interquartile range (box), adjacent values (whiskers), outliers (circles), and for each legend, bold line dashes specify manufacturer threshold (with fine line dashes indicating acceptable range).</w:t>
                      </w:r>
                    </w:p>
                  </w:txbxContent>
                </v:textbox>
                <w10:wrap type="square"/>
              </v:rect>
            </w:pict>
          </mc:Fallback>
        </mc:AlternateContent>
      </w:r>
      <w:r>
        <w:rPr>
          <w:noProof/>
        </w:rPr>
        <mc:AlternateContent>
          <mc:Choice Requires="wps">
            <w:drawing>
              <wp:anchor distT="45720" distB="45720" distL="114300" distR="114300" simplePos="0" relativeHeight="251658247" behindDoc="0" locked="0" layoutInCell="1" hidden="0" allowOverlap="1" wp14:anchorId="7C45FE9E" wp14:editId="2445EF8E">
                <wp:simplePos x="0" y="0"/>
                <wp:positionH relativeFrom="margin">
                  <wp:posOffset>0</wp:posOffset>
                </wp:positionH>
                <wp:positionV relativeFrom="paragraph">
                  <wp:posOffset>3006090</wp:posOffset>
                </wp:positionV>
                <wp:extent cx="3790950" cy="809625"/>
                <wp:effectExtent l="0" t="0" r="19050" b="28575"/>
                <wp:wrapSquare wrapText="bothSides" distT="45720" distB="45720" distL="114300" distR="114300"/>
                <wp:docPr id="42" name="Rectangle 42"/>
                <wp:cNvGraphicFramePr/>
                <a:graphic xmlns:a="http://schemas.openxmlformats.org/drawingml/2006/main">
                  <a:graphicData uri="http://schemas.microsoft.com/office/word/2010/wordprocessingShape">
                    <wps:wsp>
                      <wps:cNvSpPr/>
                      <wps:spPr>
                        <a:xfrm>
                          <a:off x="0" y="0"/>
                          <a:ext cx="3790950" cy="8096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01D807F" w14:textId="77777777" w:rsidR="0001313F" w:rsidRDefault="0001313F" w:rsidP="0001313F">
                            <w:pPr>
                              <w:pStyle w:val="1-BodyTextItalics"/>
                            </w:pPr>
                            <w:r>
                              <w:t>Box plot shows the median (horizontal line), interquartile range (box), adjacent values (whiskers), outliers (circles), and for each legend, red dashed line represents WHO optimal effectiveness thresholds for mortality 80%.</w:t>
                            </w:r>
                          </w:p>
                        </w:txbxContent>
                      </wps:txbx>
                      <wps:bodyPr spcFirstLastPara="1" wrap="square" lIns="91425" tIns="45700" rIns="91425" bIns="45700" anchor="t" anchorCtr="0">
                        <a:noAutofit/>
                      </wps:bodyPr>
                    </wps:wsp>
                  </a:graphicData>
                </a:graphic>
              </wp:anchor>
            </w:drawing>
          </mc:Choice>
          <mc:Fallback>
            <w:pict>
              <v:rect w14:anchorId="7C45FE9E" id="Rectangle 42" o:spid="_x0000_s1030" style="position:absolute;margin-left:0;margin-top:236.7pt;width:298.5pt;height:63.75pt;z-index:25165824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" strokecolor="white">
                <v:stroke startarrowwidth="narrow" startarrowlength="short" endarrowwidth="narrow" endarrowlength="short"/>
                <v:textbox inset="2.53958mm,1.2694mm,2.53958mm,1.2694mm">
                  <w:txbxContent>
                    <w:p w14:paraId="701D807F" w14:textId="77777777" w:rsidR="0001313F" w:rsidRDefault="0001313F" w:rsidP="0001313F">
                      <w:pPr>
                        <w:pStyle w:val="1-BodyTextItalics"/>
                      </w:pPr>
                      <w:r>
                        <w:t>Box plot shows the median (horizontal line), interquartile range (box), adjacent values (whiskers), outliers (circles), and for each legend, red dashed line represents WHO optimal effectiveness thresholds for mortality 80%.</w:t>
                      </w:r>
                    </w:p>
                  </w:txbxContent>
                </v:textbox>
                <w10:wrap type="square" anchorx="margin"/>
              </v:rect>
            </w:pict>
          </mc:Fallback>
        </mc:AlternateContent>
      </w:r>
      <w:r w:rsidR="00BA7A50" w:rsidRPr="00BA7A50">
        <w:t xml:space="preserve"> </w:t>
      </w:r>
      <w:r w:rsidR="00CF6B84">
        <w:rPr>
          <w:noProof/>
        </w:rPr>
        <w:drawing>
          <wp:inline distT="0" distB="0" distL="0" distR="0" wp14:anchorId="68F14421" wp14:editId="688194F1">
            <wp:extent cx="3498142" cy="2544793"/>
            <wp:effectExtent l="0" t="0" r="7620" b="8255"/>
            <wp:docPr id="2020173663" name="Picture 13" descr="A graph of different colored and blu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73663" name="Picture 13" descr="A graph of different colored and blue lines&#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0328" cy="2560932"/>
                    </a:xfrm>
                    <a:prstGeom prst="rect">
                      <a:avLst/>
                    </a:prstGeom>
                    <a:noFill/>
                    <a:ln>
                      <a:noFill/>
                    </a:ln>
                  </pic:spPr>
                </pic:pic>
              </a:graphicData>
            </a:graphic>
          </wp:inline>
        </w:drawing>
      </w:r>
    </w:p>
    <w:p w14:paraId="14AE93FE" w14:textId="743A65A2" w:rsidR="0001313F" w:rsidRDefault="0001313F" w:rsidP="0001313F">
      <w:pPr>
        <w:pBdr>
          <w:top w:val="nil"/>
          <w:left w:val="nil"/>
          <w:bottom w:val="nil"/>
          <w:right w:val="nil"/>
          <w:between w:val="nil"/>
        </w:pBdr>
        <w:rPr>
          <w:rFonts w:ascii="Gill Sans" w:hAnsi="Gill Sans"/>
          <w:i/>
          <w:color w:val="000000"/>
        </w:rPr>
      </w:pPr>
    </w:p>
    <w:p w14:paraId="08704188" w14:textId="166A0DEC" w:rsidR="0001313F" w:rsidRDefault="0001313F" w:rsidP="0001313F">
      <w:pPr>
        <w:pBdr>
          <w:top w:val="nil"/>
          <w:left w:val="nil"/>
          <w:bottom w:val="nil"/>
          <w:right w:val="nil"/>
          <w:between w:val="nil"/>
        </w:pBdr>
        <w:rPr>
          <w:rFonts w:ascii="Gill Sans" w:hAnsi="Gill Sans"/>
          <w:i/>
          <w:color w:val="000000"/>
        </w:rPr>
      </w:pPr>
    </w:p>
    <w:p w14:paraId="6AF247C7" w14:textId="77777777" w:rsidR="0001313F" w:rsidRDefault="0001313F" w:rsidP="0001313F">
      <w:pPr>
        <w:pBdr>
          <w:top w:val="nil"/>
          <w:left w:val="nil"/>
          <w:bottom w:val="nil"/>
          <w:right w:val="nil"/>
          <w:between w:val="nil"/>
        </w:pBdr>
        <w:rPr>
          <w:rFonts w:ascii="Gill Sans" w:hAnsi="Gill Sans"/>
          <w:i/>
          <w:color w:val="000000"/>
        </w:rPr>
      </w:pPr>
    </w:p>
    <w:p w14:paraId="6BB889B6" w14:textId="77777777" w:rsidR="0001313F" w:rsidRDefault="0001313F" w:rsidP="0001313F">
      <w:pPr>
        <w:pStyle w:val="Heading2"/>
        <w:ind w:left="720" w:hanging="720"/>
        <w:jc w:val="center"/>
      </w:pPr>
      <w:r>
        <w:lastRenderedPageBreak/>
        <w:t>Bioassay and Chemical Results: Interceptor® G2 Brand ITNs</w:t>
      </w:r>
    </w:p>
    <w:p w14:paraId="4C7F9D36" w14:textId="7A37A134" w:rsidR="0001313F" w:rsidRPr="0048502E" w:rsidRDefault="00D46FBF" w:rsidP="00DD2853">
      <w:pPr>
        <w:pStyle w:val="1-BodyText"/>
      </w:pPr>
      <w:r>
        <w:t xml:space="preserve">The Interceptor® G2 brand is an alpha-cypermethrin + </w:t>
      </w:r>
      <w:proofErr w:type="spellStart"/>
      <w:r>
        <w:t>cholrfenapyr</w:t>
      </w:r>
      <w:proofErr w:type="spellEnd"/>
      <w:r>
        <w:t xml:space="preserve"> ITN on all sides. Susceptibility test data confirmed resistance of wild strain </w:t>
      </w:r>
      <w:r>
        <w:rPr>
          <w:i/>
        </w:rPr>
        <w:t>An. gambiae</w:t>
      </w:r>
      <w:r>
        <w:t xml:space="preserve"> </w:t>
      </w:r>
      <w:proofErr w:type="spellStart"/>
      <w:r>
        <w:t>s.l.</w:t>
      </w:r>
      <w:proofErr w:type="spellEnd"/>
      <w:r>
        <w:t xml:space="preserve"> to </w:t>
      </w:r>
      <w:sdt>
        <w:sdtPr>
          <w:tag w:val="goog_rdk_24"/>
          <w:id w:val="-1537268863"/>
        </w:sdtPr>
        <w:sdtContent>
          <w:sdt>
            <w:sdtPr>
              <w:tag w:val="goog_rdk_25"/>
              <w:id w:val="-328054969"/>
            </w:sdtPr>
            <w:sdtContent>
              <w:r>
                <w:t>alpha-cypermethrin.</w:t>
              </w:r>
            </w:sdtContent>
          </w:sdt>
        </w:sdtContent>
      </w:sdt>
      <w:r>
        <w:t xml:space="preserve"> Pre-exposure </w:t>
      </w:r>
      <w:r w:rsidRPr="0003345B">
        <w:t>to PBO synergist before alpha-cypermethrin showed a</w:t>
      </w:r>
      <w:r>
        <w:t xml:space="preserve"> 94% increase in 24-hour mortality compared to alpha-cypermethrin alone. </w:t>
      </w:r>
      <w:r w:rsidRPr="00CA14DF">
        <w:t>At 36 months</w:t>
      </w:r>
      <w:r>
        <w:t xml:space="preserve">, mean alpha-cypermethrin content was </w:t>
      </w:r>
      <w:r w:rsidRPr="00A75BB9">
        <w:t>1.</w:t>
      </w:r>
      <w:r>
        <w:t>5</w:t>
      </w:r>
      <w:r w:rsidRPr="00A75BB9">
        <w:t>2 g/kg</w:t>
      </w:r>
      <w:r>
        <w:t>, corresponding to a</w:t>
      </w:r>
      <w:r w:rsidRPr="00A75BB9">
        <w:t xml:space="preserve"> loss of </w:t>
      </w:r>
      <w:r>
        <w:t xml:space="preserve">37% </w:t>
      </w:r>
      <w:r w:rsidRPr="00A75BB9">
        <w:t>compared to the manufacturer’s target dose of 2.4 g/kg</w:t>
      </w:r>
      <w:r>
        <w:t>. M</w:t>
      </w:r>
      <w:r w:rsidRPr="00CA14DF">
        <w:t xml:space="preserve">ean </w:t>
      </w:r>
      <w:proofErr w:type="spellStart"/>
      <w:r w:rsidRPr="00CA14DF">
        <w:t>chlorfenapyr</w:t>
      </w:r>
      <w:proofErr w:type="spellEnd"/>
      <w:r w:rsidRPr="00CA14DF">
        <w:t xml:space="preserve"> content was 1.52 g/kg,</w:t>
      </w:r>
      <w:r>
        <w:t xml:space="preserve"> a reduction of 68% compared to</w:t>
      </w:r>
      <w:r w:rsidRPr="00CA14DF">
        <w:t xml:space="preserve"> the manufacturer’s target</w:t>
      </w:r>
      <w:r>
        <w:t xml:space="preserve"> dose</w:t>
      </w:r>
      <w:r w:rsidRPr="00CA14DF">
        <w:t xml:space="preserve"> of 4.8 g/kg</w:t>
      </w:r>
      <w:r>
        <w:t xml:space="preserve">. Losses of alpha-cypermethrin and </w:t>
      </w:r>
      <w:proofErr w:type="spellStart"/>
      <w:r>
        <w:t>chlorfenapyr</w:t>
      </w:r>
      <w:proofErr w:type="spellEnd"/>
      <w:r>
        <w:t xml:space="preserve"> across survey rounds did not appear to </w:t>
      </w:r>
      <w:r w:rsidRPr="003F651C">
        <w:t xml:space="preserve">affect </w:t>
      </w:r>
      <w:r>
        <w:t>72-hour</w:t>
      </w:r>
      <w:r w:rsidRPr="003F651C">
        <w:t xml:space="preserve"> </w:t>
      </w:r>
      <w:r>
        <w:t>mortality</w:t>
      </w:r>
      <w:r w:rsidRPr="003F651C">
        <w:t>, which remained similar across</w:t>
      </w:r>
      <w:r w:rsidRPr="004A5ABD">
        <w:t xml:space="preserve"> rounds</w:t>
      </w:r>
      <w:r>
        <w:t xml:space="preserve">. However, </w:t>
      </w:r>
      <w:r w:rsidRPr="003730DA">
        <w:t>the blood feeding inhibition appeared to be impacted</w:t>
      </w:r>
      <w:r>
        <w:t>, dropping from 74% at baseline to 43%</w:t>
      </w:r>
      <w:r w:rsidRPr="003730DA">
        <w:t xml:space="preserve"> at the 36-month timepoint.</w:t>
      </w:r>
    </w:p>
    <w:p w14:paraId="56BEEFAA" w14:textId="6F8A9B95" w:rsidR="0001313F" w:rsidRDefault="0001313F" w:rsidP="0001313F">
      <w:pPr>
        <w:pBdr>
          <w:top w:val="nil"/>
          <w:left w:val="nil"/>
          <w:bottom w:val="nil"/>
          <w:right w:val="nil"/>
          <w:between w:val="nil"/>
        </w:pBdr>
        <w:rPr>
          <w:rFonts w:ascii="Gill Sans" w:hAnsi="Gill Sans"/>
          <w:i/>
          <w:color w:val="000000"/>
        </w:rPr>
      </w:pPr>
      <w:r>
        <w:rPr>
          <w:noProof/>
        </w:rPr>
        <w:drawing>
          <wp:anchor distT="0" distB="0" distL="114300" distR="114300" simplePos="0" relativeHeight="251658251" behindDoc="0" locked="0" layoutInCell="1" allowOverlap="1" wp14:anchorId="3EC12CF1" wp14:editId="4205ED13">
            <wp:simplePos x="0" y="0"/>
            <wp:positionH relativeFrom="column">
              <wp:posOffset>4445000</wp:posOffset>
            </wp:positionH>
            <wp:positionV relativeFrom="paragraph">
              <wp:posOffset>834390</wp:posOffset>
            </wp:positionV>
            <wp:extent cx="3790950" cy="2758440"/>
            <wp:effectExtent l="0" t="0" r="0" b="3810"/>
            <wp:wrapSquare wrapText="bothSides"/>
            <wp:docPr id="1279988124" name="Picture 9" descr="A graph of a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88124" name="Picture 9" descr="A graph of a chart&#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90950" cy="2758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0" behindDoc="0" locked="0" layoutInCell="1" allowOverlap="1" wp14:anchorId="6DF6CC8C" wp14:editId="03814660">
            <wp:simplePos x="0" y="0"/>
            <wp:positionH relativeFrom="column">
              <wp:posOffset>0</wp:posOffset>
            </wp:positionH>
            <wp:positionV relativeFrom="paragraph">
              <wp:posOffset>833755</wp:posOffset>
            </wp:positionV>
            <wp:extent cx="4025900" cy="2929255"/>
            <wp:effectExtent l="0" t="0" r="0" b="4445"/>
            <wp:wrapSquare wrapText="bothSides"/>
            <wp:docPr id="1096728829" name="Picture 8" descr="A graph with blue and orang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28829" name="Picture 8" descr="A graph with blue and orange square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25900" cy="2929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9" behindDoc="0" locked="0" layoutInCell="1" hidden="0" allowOverlap="1" wp14:anchorId="7832AF70" wp14:editId="4B8143B0">
                <wp:simplePos x="0" y="0"/>
                <wp:positionH relativeFrom="margin">
                  <wp:posOffset>4724400</wp:posOffset>
                </wp:positionH>
                <wp:positionV relativeFrom="paragraph">
                  <wp:posOffset>2540</wp:posOffset>
                </wp:positionV>
                <wp:extent cx="3792855" cy="524510"/>
                <wp:effectExtent l="0" t="0" r="17145" b="27940"/>
                <wp:wrapSquare wrapText="bothSides"/>
                <wp:docPr id="44" name="Rectangle 44"/>
                <wp:cNvGraphicFramePr/>
                <a:graphic xmlns:a="http://schemas.openxmlformats.org/drawingml/2006/main">
                  <a:graphicData uri="http://schemas.microsoft.com/office/word/2010/wordprocessingShape">
                    <wps:wsp>
                      <wps:cNvSpPr/>
                      <wps:spPr>
                        <a:xfrm>
                          <a:off x="0" y="0"/>
                          <a:ext cx="3792855" cy="52451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3239F8D" w14:textId="77777777" w:rsidR="0001313F" w:rsidRDefault="0001313F" w:rsidP="0001313F">
                            <w:pPr>
                              <w:pStyle w:val="1-BodyTextBoldCentered"/>
                            </w:pPr>
                            <w:r>
                              <w:t>Alpha-cypermethrin and chlorfenapyr content of Interceptor® G2 brand ITNs from Aboisso District, Cote d’Ivoire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32AF70" id="Rectangle 44" o:spid="_x0000_s1031" style="position:absolute;margin-left:372pt;margin-top:.2pt;width:298.65pt;height:41.3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" strokecolor="white">
                <v:stroke startarrowwidth="narrow" startarrowlength="short" endarrowwidth="narrow" endarrowlength="short"/>
                <v:textbox inset="2.53958mm,1.2694mm,2.53958mm,1.2694mm">
                  <w:txbxContent>
                    <w:p w14:paraId="03239F8D" w14:textId="77777777" w:rsidR="0001313F" w:rsidRDefault="0001313F" w:rsidP="0001313F">
                      <w:pPr>
                        <w:pStyle w:val="1-BodyTextBoldCentered"/>
                      </w:pPr>
                      <w:r>
                        <w:t>Alpha-cypermethrin and chlorfenapyr content of Interceptor® G2 brand ITNs from Aboisso District, Cote d’Ivoire</w:t>
                      </w:r>
                    </w:p>
                  </w:txbxContent>
                </v:textbox>
                <w10:wrap type="square" anchorx="margin"/>
              </v:rect>
            </w:pict>
          </mc:Fallback>
        </mc:AlternateContent>
      </w:r>
      <w:r>
        <w:rPr>
          <w:noProof/>
        </w:rPr>
        <mc:AlternateContent>
          <mc:Choice Requires="wps">
            <w:drawing>
              <wp:inline distT="0" distB="0" distL="0" distR="0" wp14:anchorId="390E9546" wp14:editId="6E90CF4E">
                <wp:extent cx="4279900" cy="660400"/>
                <wp:effectExtent l="0" t="0" r="25400" b="25400"/>
                <wp:docPr id="36" name="Rectangle 36"/>
                <wp:cNvGraphicFramePr/>
                <a:graphic xmlns:a="http://schemas.openxmlformats.org/drawingml/2006/main">
                  <a:graphicData uri="http://schemas.microsoft.com/office/word/2010/wordprocessingShape">
                    <wps:wsp>
                      <wps:cNvSpPr/>
                      <wps:spPr>
                        <a:xfrm>
                          <a:off x="0" y="0"/>
                          <a:ext cx="4279900" cy="6604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DE5FAFD" w14:textId="77777777" w:rsidR="0001313F" w:rsidRDefault="0001313F" w:rsidP="0001313F">
                            <w:pPr>
                              <w:pStyle w:val="1-BodyTextBoldCentered"/>
                            </w:pPr>
                            <w:r>
                              <w:t xml:space="preserve">72-hour mortality for field/new Interceptor® G2 ITN brand samples taken from Aboisso District, Cote d’Ivoire against resistant </w:t>
                            </w:r>
                            <w:r>
                              <w:rPr>
                                <w:i/>
                              </w:rPr>
                              <w:t>An. gambiae</w:t>
                            </w:r>
                            <w:r>
                              <w:t xml:space="preserve"> s.l. mosquitos</w:t>
                            </w:r>
                          </w:p>
                        </w:txbxContent>
                      </wps:txbx>
                      <wps:bodyPr spcFirstLastPara="1" wrap="square" lIns="91425" tIns="45700" rIns="91425" bIns="45700" anchor="t" anchorCtr="0">
                        <a:noAutofit/>
                      </wps:bodyPr>
                    </wps:wsp>
                  </a:graphicData>
                </a:graphic>
              </wp:inline>
            </w:drawing>
          </mc:Choice>
          <mc:Fallback>
            <w:pict>
              <v:rect w14:anchorId="390E9546" id="Rectangle 36" o:spid="_x0000_s1032" style="width:337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" strokecolor="white">
                <v:stroke startarrowwidth="narrow" startarrowlength="short" endarrowwidth="narrow" endarrowlength="short"/>
                <v:textbox inset="2.53958mm,1.2694mm,2.53958mm,1.2694mm">
                  <w:txbxContent>
                    <w:p w14:paraId="5DE5FAFD" w14:textId="77777777" w:rsidR="0001313F" w:rsidRDefault="0001313F" w:rsidP="0001313F">
                      <w:pPr>
                        <w:pStyle w:val="1-BodyTextBoldCentered"/>
                      </w:pPr>
                      <w:r>
                        <w:t xml:space="preserve">72-hour mortality for field/new Interceptor® G2 ITN brand samples taken from Aboisso District, Cote d’Ivoire against resistant </w:t>
                      </w:r>
                      <w:r>
                        <w:rPr>
                          <w:i/>
                        </w:rPr>
                        <w:t>An. gambiae</w:t>
                      </w:r>
                      <w:r>
                        <w:t xml:space="preserve"> s.l. mosquitos</w:t>
                      </w:r>
                    </w:p>
                  </w:txbxContent>
                </v:textbox>
                <w10:anchorlock/>
              </v:rect>
            </w:pict>
          </mc:Fallback>
        </mc:AlternateContent>
      </w:r>
    </w:p>
    <w:p w14:paraId="75FD3ECC" w14:textId="337F9F10" w:rsidR="0001313F" w:rsidRDefault="0001313F" w:rsidP="0001313F">
      <w:pPr>
        <w:pBdr>
          <w:top w:val="nil"/>
          <w:left w:val="nil"/>
          <w:bottom w:val="nil"/>
          <w:right w:val="nil"/>
          <w:between w:val="nil"/>
        </w:pBdr>
        <w:rPr>
          <w:rFonts w:ascii="Gill Sans" w:hAnsi="Gill Sans"/>
          <w:i/>
          <w:color w:val="000000"/>
        </w:rPr>
      </w:pPr>
      <w:r>
        <w:rPr>
          <w:noProof/>
        </w:rPr>
        <mc:AlternateContent>
          <mc:Choice Requires="wps">
            <w:drawing>
              <wp:anchor distT="45720" distB="45720" distL="114300" distR="114300" simplePos="0" relativeHeight="251658253" behindDoc="0" locked="0" layoutInCell="1" hidden="0" allowOverlap="1" wp14:anchorId="2320F590" wp14:editId="37A8DFB9">
                <wp:simplePos x="0" y="0"/>
                <wp:positionH relativeFrom="column">
                  <wp:posOffset>4549775</wp:posOffset>
                </wp:positionH>
                <wp:positionV relativeFrom="paragraph">
                  <wp:posOffset>2936240</wp:posOffset>
                </wp:positionV>
                <wp:extent cx="3914775" cy="825690"/>
                <wp:effectExtent l="0" t="0" r="28575" b="12700"/>
                <wp:wrapNone/>
                <wp:docPr id="40" name="Rectangle 40"/>
                <wp:cNvGraphicFramePr/>
                <a:graphic xmlns:a="http://schemas.openxmlformats.org/drawingml/2006/main">
                  <a:graphicData uri="http://schemas.microsoft.com/office/word/2010/wordprocessingShape">
                    <wps:wsp>
                      <wps:cNvSpPr/>
                      <wps:spPr>
                        <a:xfrm>
                          <a:off x="0" y="0"/>
                          <a:ext cx="3914775" cy="82569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0250B9A" w14:textId="77777777" w:rsidR="0001313F" w:rsidRDefault="0001313F" w:rsidP="0001313F">
                            <w:pPr>
                              <w:pStyle w:val="1-BodyTextItalics"/>
                            </w:pPr>
                            <w:r>
                              <w:t>Box plot shows the median (horizontal line), interquartile range (box), adjacent values (whiskers), outliers (circles), and for each legend, bold line dashes specify manufacturer threshold (with fine line dashes indicating acceptable range).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320F590" id="Rectangle 40" o:spid="_x0000_s1033" style="position:absolute;margin-left:358.25pt;margin-top:231.2pt;width:308.25pt;height:65pt;z-index:251658253;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" strokecolor="white">
                <v:stroke startarrowwidth="narrow" startarrowlength="short" endarrowwidth="narrow" endarrowlength="short"/>
                <v:textbox inset="2.53958mm,1.2694mm,2.53958mm,1.2694mm">
                  <w:txbxContent>
                    <w:p w14:paraId="10250B9A" w14:textId="77777777" w:rsidR="0001313F" w:rsidRDefault="0001313F" w:rsidP="0001313F">
                      <w:pPr>
                        <w:pStyle w:val="1-BodyTextItalics"/>
                      </w:pPr>
                      <w:r>
                        <w:t>Box plot shows the median (horizontal line), interquartile range (box), adjacent values (whiskers), outliers (circles), and for each legend, bold line dashes specify manufacturer threshold (with fine line dashes indicating acceptable range).</w:t>
                      </w:r>
                    </w:p>
                  </w:txbxContent>
                </v:textbox>
              </v:rect>
            </w:pict>
          </mc:Fallback>
        </mc:AlternateContent>
      </w:r>
    </w:p>
    <w:p w14:paraId="0F5F037C" w14:textId="77777777" w:rsidR="0001313F" w:rsidRDefault="0001313F" w:rsidP="0001313F">
      <w:pPr>
        <w:pBdr>
          <w:top w:val="nil"/>
          <w:left w:val="nil"/>
          <w:bottom w:val="nil"/>
          <w:right w:val="nil"/>
          <w:between w:val="nil"/>
        </w:pBdr>
        <w:rPr>
          <w:rFonts w:ascii="Gill Sans" w:hAnsi="Gill Sans"/>
          <w:i/>
          <w:color w:val="000000"/>
        </w:rPr>
      </w:pPr>
      <w:r>
        <w:rPr>
          <w:noProof/>
        </w:rPr>
        <mc:AlternateContent>
          <mc:Choice Requires="wps">
            <w:drawing>
              <wp:anchor distT="45720" distB="45720" distL="114300" distR="114300" simplePos="0" relativeHeight="251658252" behindDoc="0" locked="0" layoutInCell="1" hidden="0" allowOverlap="1" wp14:anchorId="438DEC2C" wp14:editId="36AA3983">
                <wp:simplePos x="0" y="0"/>
                <wp:positionH relativeFrom="column">
                  <wp:posOffset>508000</wp:posOffset>
                </wp:positionH>
                <wp:positionV relativeFrom="paragraph">
                  <wp:posOffset>173990</wp:posOffset>
                </wp:positionV>
                <wp:extent cx="3343275" cy="482600"/>
                <wp:effectExtent l="0" t="0" r="28575" b="12700"/>
                <wp:wrapSquare wrapText="bothSides" distT="45720" distB="45720" distL="114300" distR="114300"/>
                <wp:docPr id="37" name="Rectangle 37"/>
                <wp:cNvGraphicFramePr/>
                <a:graphic xmlns:a="http://schemas.openxmlformats.org/drawingml/2006/main">
                  <a:graphicData uri="http://schemas.microsoft.com/office/word/2010/wordprocessingShape">
                    <wps:wsp>
                      <wps:cNvSpPr/>
                      <wps:spPr>
                        <a:xfrm>
                          <a:off x="0" y="0"/>
                          <a:ext cx="3343275" cy="4826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1ACF0FB" w14:textId="77777777" w:rsidR="0001313F" w:rsidRDefault="0001313F" w:rsidP="0001313F">
                            <w:pPr>
                              <w:pStyle w:val="1-BodyTextItalics"/>
                            </w:pPr>
                            <w:r>
                              <w:t>Box plot shows the median (horizontal line), interquartile range (box), adjacent values (whiskers) and outlier (circle).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38DEC2C" id="Rectangle 37" o:spid="_x0000_s1034" style="position:absolute;margin-left:40pt;margin-top:13.7pt;width:263.25pt;height:38pt;z-index:25165825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" strokecolor="white">
                <v:stroke startarrowwidth="narrow" startarrowlength="short" endarrowwidth="narrow" endarrowlength="short"/>
                <v:textbox inset="2.53958mm,1.2694mm,2.53958mm,1.2694mm">
                  <w:txbxContent>
                    <w:p w14:paraId="01ACF0FB" w14:textId="77777777" w:rsidR="0001313F" w:rsidRDefault="0001313F" w:rsidP="0001313F">
                      <w:pPr>
                        <w:pStyle w:val="1-BodyTextItalics"/>
                      </w:pPr>
                      <w:r>
                        <w:t>Box plot shows the median (horizontal line), interquartile range (box), adjacent values (whiskers) and outlier (circle).</w:t>
                      </w:r>
                    </w:p>
                  </w:txbxContent>
                </v:textbox>
                <w10:wrap type="square"/>
              </v:rect>
            </w:pict>
          </mc:Fallback>
        </mc:AlternateContent>
      </w:r>
    </w:p>
    <w:p w14:paraId="4B156AC3" w14:textId="77777777" w:rsidR="0001313F" w:rsidRDefault="0001313F" w:rsidP="0001313F">
      <w:pPr>
        <w:pBdr>
          <w:top w:val="nil"/>
          <w:left w:val="nil"/>
          <w:bottom w:val="nil"/>
          <w:right w:val="nil"/>
          <w:between w:val="nil"/>
        </w:pBdr>
        <w:rPr>
          <w:rFonts w:ascii="Gill Sans" w:hAnsi="Gill Sans"/>
          <w:i/>
          <w:color w:val="000000"/>
        </w:rPr>
      </w:pPr>
    </w:p>
    <w:p w14:paraId="0FAD95F5" w14:textId="77777777" w:rsidR="0001313F" w:rsidRDefault="0001313F" w:rsidP="0001313F">
      <w:pPr>
        <w:pBdr>
          <w:top w:val="nil"/>
          <w:left w:val="nil"/>
          <w:bottom w:val="nil"/>
          <w:right w:val="nil"/>
          <w:between w:val="nil"/>
        </w:pBdr>
        <w:rPr>
          <w:rFonts w:ascii="Gill Sans" w:hAnsi="Gill Sans"/>
          <w:i/>
          <w:color w:val="000000"/>
        </w:rPr>
      </w:pPr>
    </w:p>
    <w:p w14:paraId="115E86B0" w14:textId="77777777" w:rsidR="0001313F" w:rsidRDefault="0001313F" w:rsidP="0001313F">
      <w:pPr>
        <w:pBdr>
          <w:top w:val="nil"/>
          <w:left w:val="nil"/>
          <w:bottom w:val="nil"/>
          <w:right w:val="nil"/>
          <w:between w:val="nil"/>
        </w:pBdr>
        <w:rPr>
          <w:rFonts w:ascii="Gill Sans" w:hAnsi="Gill Sans"/>
          <w:i/>
          <w:color w:val="000000"/>
        </w:rPr>
      </w:pPr>
    </w:p>
    <w:p w14:paraId="4B38DB6C" w14:textId="39FB47B6" w:rsidR="003D7C1A" w:rsidRDefault="003D7C1A" w:rsidP="00DD2853">
      <w:pPr>
        <w:pBdr>
          <w:top w:val="nil"/>
          <w:left w:val="nil"/>
          <w:bottom w:val="nil"/>
          <w:right w:val="nil"/>
          <w:between w:val="nil"/>
        </w:pBdr>
        <w:rPr>
          <w:rFonts w:ascii="Gill Sans" w:hAnsi="Gill Sans"/>
          <w:i/>
          <w:color w:val="000000"/>
        </w:rPr>
        <w:sectPr w:rsidR="003D7C1A" w:rsidSect="00BC3594">
          <w:pgSz w:w="15840" w:h="12240" w:orient="landscape"/>
          <w:pgMar w:top="1152" w:right="1440" w:bottom="1152" w:left="1440" w:header="720" w:footer="720" w:gutter="0"/>
          <w:pgNumType w:start="1"/>
          <w:cols w:space="720"/>
          <w:docGrid w:linePitch="299"/>
        </w:sectPr>
      </w:pPr>
    </w:p>
    <w:p w14:paraId="4B38DB79" w14:textId="77777777" w:rsidR="00C12A95" w:rsidRDefault="00D0770C">
      <w:pPr>
        <w:pStyle w:val="Heading2"/>
      </w:pPr>
      <w:r>
        <w:lastRenderedPageBreak/>
        <w:t>Durability Monitoring Indicator Definitions</w:t>
      </w:r>
    </w:p>
    <w:tbl>
      <w:tblPr>
        <w:tblW w:w="10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0"/>
      </w:tblGrid>
      <w:tr w:rsidR="00C12A95" w14:paraId="4B38DB7C" w14:textId="77777777">
        <w:trPr>
          <w:trHeight w:val="292"/>
          <w:jc w:val="center"/>
        </w:trPr>
        <w:tc>
          <w:tcPr>
            <w:tcW w:w="10540" w:type="dxa"/>
            <w:tcBorders>
              <w:bottom w:val="nil"/>
            </w:tcBorders>
            <w:shd w:val="clear" w:color="auto" w:fill="DEEBF7"/>
          </w:tcPr>
          <w:p w14:paraId="4B38DB7A" w14:textId="77777777" w:rsidR="00C12A95" w:rsidRDefault="00D0770C" w:rsidP="00CB60D6">
            <w:pPr>
              <w:pStyle w:val="1-BodyText"/>
            </w:pPr>
            <w:r>
              <w:rPr>
                <w:b/>
              </w:rPr>
              <w:t>Attrition due to wear and tear:</w:t>
            </w:r>
            <w:r>
              <w:t xml:space="preserve"> The percentage of cohort nets lost due to being destroyed, discarded or used for other purposes out of all cohort nets received by sampled households. This does not include nets that were given away, sold, or stolen.</w:t>
            </w:r>
          </w:p>
          <w:p w14:paraId="4B38DB7B" w14:textId="415E47EC" w:rsidR="00C12A95" w:rsidRDefault="006C0FC6" w:rsidP="00CB60D6">
            <w:pPr>
              <w:pStyle w:val="1-BodyText"/>
            </w:pPr>
            <w:r w:rsidRPr="00FE663E">
              <w:rPr>
                <w:rFonts w:ascii="Wingdings" w:eastAsia="Wingdings" w:hAnsi="Wingdings" w:cs="Wingdings"/>
              </w:rPr>
              <w:t>à</w:t>
            </w:r>
            <w:r w:rsidR="00D0770C">
              <w:t xml:space="preserve"> Provides an estimate of the attrition relevant to estimation of the physical durability in contrast to “all cause attrition” which includes also nets given away etc. Attrition due to wear and tear is correlated with the median survival of the cohort nets.</w:t>
            </w:r>
          </w:p>
        </w:tc>
      </w:tr>
      <w:tr w:rsidR="00C12A95" w14:paraId="4B38DB7F" w14:textId="77777777">
        <w:trPr>
          <w:trHeight w:val="292"/>
          <w:jc w:val="center"/>
        </w:trPr>
        <w:tc>
          <w:tcPr>
            <w:tcW w:w="10540" w:type="dxa"/>
            <w:tcBorders>
              <w:bottom w:val="single" w:sz="4" w:space="0" w:color="000000"/>
            </w:tcBorders>
            <w:shd w:val="clear" w:color="auto" w:fill="auto"/>
          </w:tcPr>
          <w:p w14:paraId="4B38DB7D" w14:textId="77777777" w:rsidR="00C12A95" w:rsidRDefault="00D0770C" w:rsidP="00266173">
            <w:pPr>
              <w:pStyle w:val="1-BodyText"/>
            </w:pPr>
            <w:r>
              <w:rPr>
                <w:b/>
              </w:rPr>
              <w:t>Remaining nets in serviceable condition:</w:t>
            </w:r>
            <w:r>
              <w:t xml:space="preserve"> The percentage of cohort nets surviving to date that are still in serviceable physical condition (good or damaged), specifically, with a proportionate hole index of 642 or less.</w:t>
            </w:r>
          </w:p>
          <w:p w14:paraId="4B38DB7E" w14:textId="3CEA39A7" w:rsidR="00C12A95" w:rsidRDefault="00266173" w:rsidP="00266173">
            <w:pPr>
              <w:pStyle w:val="1-BodyText"/>
            </w:pPr>
            <w:r w:rsidRPr="00FE663E">
              <w:rPr>
                <w:rFonts w:ascii="Wingdings" w:eastAsia="Wingdings" w:hAnsi="Wingdings" w:cs="Wingdings"/>
              </w:rPr>
              <w:t>à</w:t>
            </w:r>
            <w:r w:rsidR="00D0770C">
              <w:t xml:space="preserve"> Provides an estimate of the physical quality of remaining campaign nets.</w:t>
            </w:r>
          </w:p>
        </w:tc>
      </w:tr>
      <w:tr w:rsidR="00C12A95" w14:paraId="4B38DB82" w14:textId="77777777">
        <w:trPr>
          <w:trHeight w:val="292"/>
          <w:jc w:val="center"/>
        </w:trPr>
        <w:tc>
          <w:tcPr>
            <w:tcW w:w="10540" w:type="dxa"/>
            <w:shd w:val="clear" w:color="auto" w:fill="DEEBF7"/>
          </w:tcPr>
          <w:p w14:paraId="4B38DB80" w14:textId="77777777" w:rsidR="00C12A95" w:rsidRDefault="00D0770C" w:rsidP="00266173">
            <w:pPr>
              <w:pStyle w:val="1-BodyText"/>
            </w:pPr>
            <w:r>
              <w:rPr>
                <w:b/>
              </w:rPr>
              <w:t>Remaining nets hanging over sleeping space:</w:t>
            </w:r>
            <w:r>
              <w:t xml:space="preserve"> The percentage of cohort nets and, separately, non-cohort nets present in the household that are hanging up, whether tied up or not. </w:t>
            </w:r>
          </w:p>
          <w:p w14:paraId="4B38DB81" w14:textId="477DF71D" w:rsidR="00C12A95" w:rsidRDefault="00266173" w:rsidP="00266173">
            <w:pPr>
              <w:pStyle w:val="1-BodyText"/>
              <w:rPr>
                <w:b/>
              </w:rPr>
            </w:pPr>
            <w:r w:rsidRPr="00FE663E">
              <w:rPr>
                <w:rFonts w:ascii="Wingdings" w:eastAsia="Wingdings" w:hAnsi="Wingdings" w:cs="Wingdings"/>
              </w:rPr>
              <w:t>à</w:t>
            </w:r>
            <w:r w:rsidR="00D0770C">
              <w:t xml:space="preserve"> Provides an estimate of the use of different nets in the household. Households adopt nets newly received from campaigns at different rates. A present net hanging up in the home is an indicator of net use generally, beyond the formal indicator of net use the night before the survey. </w:t>
            </w:r>
          </w:p>
        </w:tc>
      </w:tr>
      <w:tr w:rsidR="00C12A95" w14:paraId="4B38DB85" w14:textId="77777777">
        <w:trPr>
          <w:trHeight w:val="292"/>
          <w:jc w:val="center"/>
        </w:trPr>
        <w:tc>
          <w:tcPr>
            <w:tcW w:w="10540" w:type="dxa"/>
          </w:tcPr>
          <w:p w14:paraId="4B38DB83" w14:textId="77777777" w:rsidR="00C12A95" w:rsidRDefault="00D0770C" w:rsidP="00266173">
            <w:pPr>
              <w:pStyle w:val="1-BodyText"/>
            </w:pPr>
            <w:r>
              <w:rPr>
                <w:b/>
              </w:rPr>
              <w:t>Optimal insecticidal effectiveness:</w:t>
            </w:r>
            <w:r>
              <w:t xml:space="preserve"> The percentage of sampled campaign nets that have at least 95% 60-minute knock-down or 80% mortality in the WHO cone bioassay. Alternatively, 90% feeding inhibition or 80% mortality in the tunnel test.</w:t>
            </w:r>
          </w:p>
          <w:p w14:paraId="4B38DB84" w14:textId="04EDC72F" w:rsidR="00C12A95" w:rsidRDefault="00266173" w:rsidP="00266173">
            <w:pPr>
              <w:pStyle w:val="1-BodyText"/>
            </w:pPr>
            <w:r w:rsidRPr="00FE663E">
              <w:rPr>
                <w:rFonts w:ascii="Wingdings" w:eastAsia="Wingdings" w:hAnsi="Wingdings" w:cs="Wingdings"/>
              </w:rPr>
              <w:t>à</w:t>
            </w:r>
            <w:r>
              <w:t xml:space="preserve"> </w:t>
            </w:r>
            <w:r w:rsidR="00D0770C">
              <w:t>Provides an estimate of the effectiveness of the insecticide found on mass campaign LLIN at each period of follow-up.</w:t>
            </w:r>
          </w:p>
        </w:tc>
      </w:tr>
      <w:tr w:rsidR="00C12A95" w14:paraId="4B38DB88" w14:textId="77777777">
        <w:trPr>
          <w:trHeight w:val="292"/>
          <w:jc w:val="center"/>
        </w:trPr>
        <w:tc>
          <w:tcPr>
            <w:tcW w:w="10540" w:type="dxa"/>
            <w:shd w:val="clear" w:color="auto" w:fill="DEEBF7"/>
          </w:tcPr>
          <w:p w14:paraId="4B38DB86" w14:textId="77777777" w:rsidR="00C12A95" w:rsidRDefault="00D0770C" w:rsidP="00266173">
            <w:pPr>
              <w:pStyle w:val="1-BodyText"/>
            </w:pPr>
            <w:r>
              <w:rPr>
                <w:b/>
              </w:rPr>
              <w:t>Cohort survival in serviceable condition</w:t>
            </w:r>
            <w:r>
              <w:t>: The proportion of all cohort nets sampled at baseline that are in serviceable physical condition at each period of follow-up out of all cohort nets with a known outcome (excluding nets given away to others, stolen or sold).</w:t>
            </w:r>
          </w:p>
          <w:p w14:paraId="4B38DB87" w14:textId="3AC7B473" w:rsidR="00C12A95" w:rsidRDefault="00266173" w:rsidP="00266173">
            <w:pPr>
              <w:pStyle w:val="1-BodyText"/>
              <w:rPr>
                <w:b/>
              </w:rPr>
            </w:pPr>
            <w:r w:rsidRPr="00FE663E">
              <w:rPr>
                <w:rFonts w:ascii="Wingdings" w:eastAsia="Wingdings" w:hAnsi="Wingdings" w:cs="Wingdings"/>
              </w:rPr>
              <w:t>à</w:t>
            </w:r>
            <w:r>
              <w:t xml:space="preserve"> </w:t>
            </w:r>
            <w:r w:rsidR="00D0770C">
              <w:t>Provides an estimate of the proportion of all campaign nets that are still able to effectively protect the population from malaria when slept under.</w:t>
            </w:r>
          </w:p>
        </w:tc>
      </w:tr>
    </w:tbl>
    <w:p w14:paraId="4B38DB89" w14:textId="77777777" w:rsidR="00C12A95" w:rsidRDefault="00C12A95">
      <w:pPr>
        <w:tabs>
          <w:tab w:val="left" w:pos="991"/>
        </w:tabs>
        <w:spacing w:after="0"/>
        <w:rPr>
          <w:rFonts w:ascii="Garamond" w:eastAsia="Garamond" w:hAnsi="Garamond" w:cs="Garamond"/>
        </w:rPr>
      </w:pPr>
    </w:p>
    <w:p w14:paraId="4B38DB8A" w14:textId="77777777" w:rsidR="00C12A95" w:rsidRDefault="00C12A95"/>
    <w:p w14:paraId="4B38DB8B" w14:textId="77777777" w:rsidR="00C12A95" w:rsidRDefault="00C12A95"/>
    <w:sectPr w:rsidR="00C12A9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6CA9F" w14:textId="77777777" w:rsidR="00464940" w:rsidRDefault="00464940">
      <w:pPr>
        <w:spacing w:after="0"/>
      </w:pPr>
      <w:r>
        <w:separator/>
      </w:r>
    </w:p>
  </w:endnote>
  <w:endnote w:type="continuationSeparator" w:id="0">
    <w:p w14:paraId="76E8386E" w14:textId="77777777" w:rsidR="00464940" w:rsidRDefault="00464940">
      <w:pPr>
        <w:spacing w:after="0"/>
      </w:pPr>
      <w:r>
        <w:continuationSeparator/>
      </w:r>
    </w:p>
  </w:endnote>
  <w:endnote w:type="continuationNotice" w:id="1">
    <w:p w14:paraId="677EC7CD" w14:textId="77777777" w:rsidR="00464940" w:rsidRDefault="004649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Nova Light">
    <w:altName w:val="Calibri"/>
    <w:charset w:val="00"/>
    <w:family w:val="swiss"/>
    <w:pitch w:val="variable"/>
    <w:sig w:usb0="80000287" w:usb1="00000002" w:usb2="00000000" w:usb3="00000000" w:csb0="0000009F" w:csb1="00000000"/>
  </w:font>
  <w:font w:name="Gill Sans">
    <w:altName w:val="Arial"/>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auto"/>
    <w:notTrueType/>
    <w:pitch w:val="variable"/>
    <w:sig w:usb0="A100007F" w:usb1="4000005B" w:usb2="00000000" w:usb3="00000000" w:csb0="0000009B" w:csb1="00000000"/>
  </w:font>
  <w:font w:name="Montserrat Medium">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BB" w14:textId="77777777" w:rsidR="00C12A95" w:rsidRDefault="00C12A95">
    <w:pPr>
      <w:pBdr>
        <w:top w:val="nil"/>
        <w:left w:val="nil"/>
        <w:bottom w:val="nil"/>
        <w:right w:val="nil"/>
        <w:between w:val="nil"/>
      </w:pBdr>
      <w:tabs>
        <w:tab w:val="center" w:pos="4680"/>
        <w:tab w:val="right" w:pos="9360"/>
      </w:tabs>
      <w:spacing w:after="0"/>
      <w:rPr>
        <w:rFonts w:ascii="Gill Sans" w:hAnsi="Gill Sans"/>
        <w:color w:val="000000"/>
      </w:rPr>
    </w:pPr>
  </w:p>
  <w:p w14:paraId="4B38DBBC" w14:textId="77777777" w:rsidR="00C12A95" w:rsidRDefault="00C12A95"/>
  <w:p w14:paraId="4B38DBBD" w14:textId="77777777" w:rsidR="00C12A95" w:rsidRDefault="00C12A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BE" w14:textId="77777777" w:rsidR="00C12A95" w:rsidRDefault="00C12A95">
    <w:pPr>
      <w:pBdr>
        <w:top w:val="nil"/>
        <w:left w:val="nil"/>
        <w:bottom w:val="nil"/>
        <w:right w:val="nil"/>
        <w:between w:val="nil"/>
      </w:pBdr>
      <w:tabs>
        <w:tab w:val="center" w:pos="4680"/>
        <w:tab w:val="right" w:pos="9360"/>
      </w:tabs>
      <w:spacing w:after="0"/>
      <w:rPr>
        <w:rFonts w:ascii="Gill Sans" w:hAnsi="Gill Sans"/>
        <w:color w:val="000000"/>
      </w:rPr>
    </w:pPr>
  </w:p>
  <w:p w14:paraId="4B38DBBF" w14:textId="77777777" w:rsidR="00C12A95" w:rsidRDefault="00C12A95">
    <w:pPr>
      <w:pBdr>
        <w:top w:val="nil"/>
        <w:left w:val="nil"/>
        <w:bottom w:val="nil"/>
        <w:right w:val="nil"/>
        <w:between w:val="nil"/>
      </w:pBdr>
      <w:tabs>
        <w:tab w:val="center" w:pos="4680"/>
        <w:tab w:val="right" w:pos="9360"/>
      </w:tabs>
      <w:spacing w:after="0"/>
      <w:rPr>
        <w:rFonts w:ascii="Gill Sans" w:hAnsi="Gill Sans"/>
        <w:color w:val="000000"/>
      </w:rPr>
    </w:pPr>
  </w:p>
  <w:p w14:paraId="4B38DBC0" w14:textId="77777777" w:rsidR="00C12A95" w:rsidRDefault="00C12A95"/>
  <w:p w14:paraId="4B38DBC1" w14:textId="77777777" w:rsidR="00C12A95" w:rsidRDefault="00C12A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C5" w14:textId="77777777" w:rsidR="00C12A95" w:rsidRDefault="00C12A95">
    <w:pPr>
      <w:pBdr>
        <w:top w:val="nil"/>
        <w:left w:val="nil"/>
        <w:bottom w:val="nil"/>
        <w:right w:val="nil"/>
        <w:between w:val="nil"/>
      </w:pBdr>
      <w:tabs>
        <w:tab w:val="center" w:pos="4680"/>
        <w:tab w:val="right" w:pos="9360"/>
      </w:tabs>
      <w:spacing w:after="0"/>
      <w:rPr>
        <w:rFonts w:ascii="Gill Sans" w:hAnsi="Gill Sans"/>
        <w:color w:val="000000"/>
      </w:rPr>
    </w:pPr>
  </w:p>
  <w:p w14:paraId="4B38DBC6" w14:textId="77777777" w:rsidR="00C12A95" w:rsidRDefault="00C12A95"/>
  <w:p w14:paraId="4B38DBC7" w14:textId="77777777" w:rsidR="00C12A95" w:rsidRDefault="00C12A9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C8" w14:textId="0519419C" w:rsidR="00C12A95" w:rsidRDefault="00D0770C">
    <w:pPr>
      <w:pBdr>
        <w:top w:val="single" w:sz="12" w:space="1" w:color="002A6C"/>
        <w:left w:val="nil"/>
        <w:bottom w:val="nil"/>
        <w:right w:val="nil"/>
        <w:between w:val="nil"/>
      </w:pBdr>
      <w:tabs>
        <w:tab w:val="center" w:pos="4680"/>
        <w:tab w:val="right" w:pos="9360"/>
      </w:tabs>
      <w:spacing w:after="0"/>
      <w:jc w:val="right"/>
      <w:rPr>
        <w:rFonts w:ascii="Gill Sans" w:hAnsi="Gill Sans"/>
        <w:color w:val="000000"/>
      </w:rPr>
    </w:pPr>
    <w:r>
      <w:rPr>
        <w:rFonts w:ascii="Gill Sans" w:hAnsi="Gill Sans"/>
        <w:color w:val="000000"/>
      </w:rPr>
      <w:fldChar w:fldCharType="begin"/>
    </w:r>
    <w:r>
      <w:rPr>
        <w:rFonts w:ascii="Gill Sans" w:hAnsi="Gill Sans"/>
        <w:color w:val="000000"/>
      </w:rPr>
      <w:instrText>PAGE</w:instrText>
    </w:r>
    <w:r>
      <w:rPr>
        <w:rFonts w:ascii="Gill Sans" w:hAnsi="Gill Sans"/>
        <w:color w:val="000000"/>
      </w:rPr>
      <w:fldChar w:fldCharType="separate"/>
    </w:r>
    <w:r w:rsidR="003C7698">
      <w:rPr>
        <w:rFonts w:ascii="Gill Sans" w:hAnsi="Gill Sans"/>
        <w:noProof/>
        <w:color w:val="000000"/>
      </w:rPr>
      <w:t>1</w:t>
    </w:r>
    <w:r>
      <w:rPr>
        <w:rFonts w:ascii="Gill Sans" w:hAnsi="Gill San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BC377" w14:textId="77777777" w:rsidR="00464940" w:rsidRDefault="00464940">
      <w:pPr>
        <w:spacing w:after="0"/>
      </w:pPr>
      <w:r>
        <w:separator/>
      </w:r>
    </w:p>
  </w:footnote>
  <w:footnote w:type="continuationSeparator" w:id="0">
    <w:p w14:paraId="34147F00" w14:textId="77777777" w:rsidR="00464940" w:rsidRDefault="00464940">
      <w:pPr>
        <w:spacing w:after="0"/>
      </w:pPr>
      <w:r>
        <w:continuationSeparator/>
      </w:r>
    </w:p>
  </w:footnote>
  <w:footnote w:type="continuationNotice" w:id="1">
    <w:p w14:paraId="1ABDFA40" w14:textId="77777777" w:rsidR="00464940" w:rsidRDefault="00464940">
      <w:pPr>
        <w:spacing w:after="0"/>
      </w:pPr>
    </w:p>
  </w:footnote>
  <w:footnote w:id="2">
    <w:p w14:paraId="219AEA01" w14:textId="243A9C69" w:rsidR="00AD292E" w:rsidRPr="00802572" w:rsidRDefault="00AD292E" w:rsidP="009D28EF">
      <w:pPr>
        <w:pStyle w:val="Footer"/>
        <w:rPr>
          <w:sz w:val="16"/>
          <w:szCs w:val="16"/>
        </w:rPr>
      </w:pPr>
      <w:r w:rsidRPr="00802572">
        <w:rPr>
          <w:rStyle w:val="FootnoteReference"/>
          <w:sz w:val="18"/>
          <w:szCs w:val="18"/>
        </w:rPr>
        <w:footnoteRef/>
      </w:r>
      <w:r w:rsidRPr="00802572">
        <w:rPr>
          <w:sz w:val="18"/>
          <w:szCs w:val="18"/>
        </w:rPr>
        <w:t xml:space="preserve"> </w:t>
      </w:r>
      <w:r w:rsidR="00BD5268" w:rsidRPr="00802572">
        <w:rPr>
          <w:sz w:val="16"/>
          <w:szCs w:val="16"/>
        </w:rPr>
        <w:t xml:space="preserve">PMI VectorLink </w:t>
      </w:r>
      <w:r w:rsidRPr="00802572">
        <w:rPr>
          <w:sz w:val="16"/>
          <w:szCs w:val="16"/>
        </w:rPr>
        <w:t xml:space="preserve">Burkina Faso and </w:t>
      </w:r>
      <w:r w:rsidR="00D26E4E" w:rsidRPr="00802572">
        <w:rPr>
          <w:sz w:val="16"/>
          <w:szCs w:val="16"/>
        </w:rPr>
        <w:t>Sierra Leone</w:t>
      </w:r>
      <w:r w:rsidRPr="00802572">
        <w:rPr>
          <w:sz w:val="16"/>
          <w:szCs w:val="16"/>
        </w:rPr>
        <w:t xml:space="preserve"> </w:t>
      </w:r>
      <w:r w:rsidR="00BD5268" w:rsidRPr="00802572">
        <w:rPr>
          <w:sz w:val="16"/>
          <w:szCs w:val="16"/>
        </w:rPr>
        <w:t>E</w:t>
      </w:r>
      <w:r w:rsidRPr="00802572">
        <w:rPr>
          <w:sz w:val="16"/>
          <w:szCs w:val="16"/>
        </w:rPr>
        <w:t xml:space="preserve">ndline </w:t>
      </w:r>
      <w:r w:rsidR="00BD5268" w:rsidRPr="00802572">
        <w:rPr>
          <w:sz w:val="16"/>
          <w:szCs w:val="16"/>
        </w:rPr>
        <w:t>D</w:t>
      </w:r>
      <w:r w:rsidRPr="00802572">
        <w:rPr>
          <w:sz w:val="16"/>
          <w:szCs w:val="16"/>
        </w:rPr>
        <w:t xml:space="preserve">urability </w:t>
      </w:r>
      <w:r w:rsidR="00BD5268" w:rsidRPr="00802572">
        <w:rPr>
          <w:sz w:val="16"/>
          <w:szCs w:val="16"/>
        </w:rPr>
        <w:t>M</w:t>
      </w:r>
      <w:r w:rsidRPr="00802572">
        <w:rPr>
          <w:sz w:val="16"/>
          <w:szCs w:val="16"/>
        </w:rPr>
        <w:t xml:space="preserve">onitoring </w:t>
      </w:r>
      <w:r w:rsidR="00BD5268" w:rsidRPr="00802572">
        <w:rPr>
          <w:sz w:val="16"/>
          <w:szCs w:val="16"/>
        </w:rPr>
        <w:t>S</w:t>
      </w:r>
      <w:r w:rsidR="00C962CB" w:rsidRPr="00802572">
        <w:rPr>
          <w:sz w:val="16"/>
          <w:szCs w:val="16"/>
        </w:rPr>
        <w:t xml:space="preserve">tudy </w:t>
      </w:r>
      <w:r w:rsidR="00BD5268" w:rsidRPr="00802572">
        <w:rPr>
          <w:sz w:val="16"/>
          <w:szCs w:val="16"/>
        </w:rPr>
        <w:t>R</w:t>
      </w:r>
      <w:r w:rsidRPr="00802572">
        <w:rPr>
          <w:sz w:val="16"/>
          <w:szCs w:val="16"/>
        </w:rPr>
        <w:t>eports</w:t>
      </w:r>
      <w:r w:rsidR="00BD5268" w:rsidRPr="00802572">
        <w:rPr>
          <w:sz w:val="16"/>
          <w:szCs w:val="16"/>
        </w:rPr>
        <w:t>. Available at:</w:t>
      </w:r>
      <w:r w:rsidR="00FF33C3" w:rsidRPr="00802572">
        <w:rPr>
          <w:sz w:val="16"/>
          <w:szCs w:val="16"/>
        </w:rPr>
        <w:t xml:space="preserve"> </w:t>
      </w:r>
      <w:hyperlink r:id="rId1" w:history="1">
        <w:r w:rsidR="00FF33C3" w:rsidRPr="00802572">
          <w:rPr>
            <w:rStyle w:val="Hyperlink"/>
            <w:sz w:val="16"/>
            <w:szCs w:val="16"/>
          </w:rPr>
          <w:t>www.durabilitymonitoring.org</w:t>
        </w:r>
      </w:hyperlink>
      <w:r w:rsidRPr="00802572">
        <w:rPr>
          <w:sz w:val="16"/>
          <w:szCs w:val="16"/>
        </w:rPr>
        <w:t>.</w:t>
      </w:r>
    </w:p>
  </w:footnote>
  <w:footnote w:id="3">
    <w:p w14:paraId="3445FF84" w14:textId="0146F531" w:rsidR="000A47CE" w:rsidRPr="00802572" w:rsidRDefault="000A47CE" w:rsidP="009D28EF">
      <w:pPr>
        <w:pStyle w:val="Footer"/>
        <w:rPr>
          <w:sz w:val="16"/>
          <w:szCs w:val="16"/>
        </w:rPr>
      </w:pPr>
      <w:r w:rsidRPr="00802572">
        <w:rPr>
          <w:rStyle w:val="FootnoteReference"/>
          <w:sz w:val="16"/>
          <w:szCs w:val="16"/>
        </w:rPr>
        <w:footnoteRef/>
      </w:r>
      <w:r w:rsidRPr="00802572">
        <w:rPr>
          <w:sz w:val="16"/>
          <w:szCs w:val="16"/>
        </w:rPr>
        <w:t xml:space="preserve"> </w:t>
      </w:r>
      <w:r w:rsidR="00A201B9" w:rsidRPr="00802572">
        <w:rPr>
          <w:sz w:val="16"/>
          <w:szCs w:val="16"/>
        </w:rPr>
        <w:t xml:space="preserve">Koenker, Hannah, Cameron Taylor, Clara R. Burgert-Brucker, Julie Thwing, Tom Fish, and Albert Kilian. “Quantifying Seasonal Variation in Insecticide-Treated Net Use among Those with Access.” </w:t>
      </w:r>
      <w:r w:rsidR="00A201B9" w:rsidRPr="00802572">
        <w:rPr>
          <w:i/>
          <w:iCs/>
          <w:sz w:val="16"/>
          <w:szCs w:val="16"/>
        </w:rPr>
        <w:t>The American Journal of Tropical Medicine and Hygiene</w:t>
      </w:r>
      <w:r w:rsidR="00A201B9" w:rsidRPr="00802572">
        <w:rPr>
          <w:sz w:val="16"/>
          <w:szCs w:val="16"/>
        </w:rPr>
        <w:t xml:space="preserve"> 101, no. 2 (August 7, 2019): 371–82. </w:t>
      </w:r>
      <w:hyperlink r:id="rId2" w:history="1">
        <w:r w:rsidR="00A201B9" w:rsidRPr="00802572">
          <w:rPr>
            <w:rStyle w:val="Hyperlink"/>
            <w:sz w:val="16"/>
            <w:szCs w:val="16"/>
          </w:rPr>
          <w:t>https://doi.org/10.4269/ajtmh.19-0249</w:t>
        </w:r>
      </w:hyperlink>
      <w:r w:rsidR="00A201B9" w:rsidRPr="00802572">
        <w:rPr>
          <w:sz w:val="16"/>
          <w:szCs w:val="16"/>
        </w:rPr>
        <w:t>.</w:t>
      </w:r>
    </w:p>
  </w:footnote>
  <w:footnote w:id="4">
    <w:p w14:paraId="5DB69C11" w14:textId="208CCE1E" w:rsidR="000B2385" w:rsidRPr="00802572" w:rsidRDefault="000B2385" w:rsidP="009D28EF">
      <w:pPr>
        <w:pStyle w:val="Footer"/>
        <w:rPr>
          <w:sz w:val="16"/>
          <w:szCs w:val="16"/>
        </w:rPr>
      </w:pPr>
      <w:r w:rsidRPr="00802572">
        <w:rPr>
          <w:rStyle w:val="FootnoteReference"/>
          <w:sz w:val="16"/>
          <w:szCs w:val="16"/>
        </w:rPr>
        <w:footnoteRef/>
      </w:r>
      <w:r w:rsidRPr="00802572">
        <w:rPr>
          <w:sz w:val="16"/>
          <w:szCs w:val="16"/>
        </w:rPr>
        <w:t xml:space="preserve"> </w:t>
      </w:r>
      <w:r w:rsidR="00734E7E" w:rsidRPr="00802572">
        <w:rPr>
          <w:sz w:val="16"/>
          <w:szCs w:val="16"/>
        </w:rPr>
        <w:t xml:space="preserve">USAID </w:t>
      </w:r>
      <w:r w:rsidR="00221B82" w:rsidRPr="00802572">
        <w:rPr>
          <w:sz w:val="16"/>
          <w:szCs w:val="16"/>
        </w:rPr>
        <w:t xml:space="preserve">Breakthrough </w:t>
      </w:r>
      <w:r w:rsidR="00734E7E" w:rsidRPr="00802572">
        <w:rPr>
          <w:sz w:val="16"/>
          <w:szCs w:val="16"/>
        </w:rPr>
        <w:t>ACTION</w:t>
      </w:r>
      <w:r w:rsidR="00221B82" w:rsidRPr="00802572">
        <w:rPr>
          <w:sz w:val="16"/>
          <w:szCs w:val="16"/>
        </w:rPr>
        <w:t>. ITN Use Access Report – Cote d’Ivoire.</w:t>
      </w:r>
      <w:r w:rsidR="00B71884" w:rsidRPr="00802572">
        <w:rPr>
          <w:sz w:val="16"/>
          <w:szCs w:val="16"/>
        </w:rPr>
        <w:t xml:space="preserve"> 2021.</w:t>
      </w:r>
      <w:r w:rsidR="00F64B39" w:rsidRPr="00802572">
        <w:rPr>
          <w:sz w:val="16"/>
          <w:szCs w:val="16"/>
        </w:rPr>
        <w:t xml:space="preserve"> Johns Hopkins Center for Communication Programs.</w:t>
      </w:r>
      <w:r w:rsidR="00B71884" w:rsidRPr="00802572">
        <w:rPr>
          <w:sz w:val="16"/>
          <w:szCs w:val="16"/>
        </w:rPr>
        <w:t xml:space="preserve"> </w:t>
      </w:r>
      <w:r w:rsidR="00F31569" w:rsidRPr="00802572">
        <w:rPr>
          <w:sz w:val="16"/>
          <w:szCs w:val="16"/>
        </w:rPr>
        <w:t>Available</w:t>
      </w:r>
      <w:r w:rsidR="00B71884" w:rsidRPr="00802572">
        <w:rPr>
          <w:sz w:val="16"/>
          <w:szCs w:val="16"/>
        </w:rPr>
        <w:t xml:space="preserve"> at: </w:t>
      </w:r>
      <w:hyperlink r:id="rId3" w:history="1">
        <w:r w:rsidRPr="00802572">
          <w:rPr>
            <w:rStyle w:val="Hyperlink"/>
            <w:sz w:val="16"/>
            <w:szCs w:val="16"/>
          </w:rPr>
          <w:t>Côte d’Ivoire (breakthroughactionandresearch.org)</w:t>
        </w:r>
      </w:hyperlink>
      <w:r w:rsidR="00734E7E" w:rsidRPr="00802572">
        <w:rPr>
          <w:sz w:val="16"/>
          <w:szCs w:val="16"/>
        </w:rPr>
        <w:t>.</w:t>
      </w:r>
    </w:p>
  </w:footnote>
  <w:footnote w:id="5">
    <w:p w14:paraId="11D1DD5D" w14:textId="1B9C7C6A" w:rsidR="00795069" w:rsidRPr="00DD2853" w:rsidRDefault="00795069" w:rsidP="009D28EF">
      <w:pPr>
        <w:pStyle w:val="Footer"/>
        <w:rPr>
          <w:sz w:val="16"/>
          <w:szCs w:val="16"/>
        </w:rPr>
      </w:pPr>
      <w:r w:rsidRPr="00802572">
        <w:rPr>
          <w:rStyle w:val="FootnoteReference"/>
          <w:sz w:val="16"/>
          <w:szCs w:val="16"/>
        </w:rPr>
        <w:footnoteRef/>
      </w:r>
      <w:r w:rsidRPr="00DD2853">
        <w:rPr>
          <w:sz w:val="16"/>
          <w:szCs w:val="16"/>
        </w:rPr>
        <w:t xml:space="preserve"> Ibid</w:t>
      </w:r>
    </w:p>
  </w:footnote>
  <w:footnote w:id="6">
    <w:p w14:paraId="15F5AF2B" w14:textId="1DA19946" w:rsidR="00BC6E4F" w:rsidRPr="00802572" w:rsidRDefault="00BC6E4F" w:rsidP="009D28EF">
      <w:pPr>
        <w:pStyle w:val="Footer"/>
        <w:rPr>
          <w:color w:val="000000"/>
          <w:sz w:val="18"/>
          <w:szCs w:val="18"/>
        </w:rPr>
      </w:pPr>
      <w:r w:rsidRPr="00802572">
        <w:rPr>
          <w:rStyle w:val="FootnoteReference"/>
          <w:sz w:val="16"/>
          <w:szCs w:val="16"/>
        </w:rPr>
        <w:footnoteRef/>
      </w:r>
      <w:r w:rsidRPr="00DD2853">
        <w:rPr>
          <w:sz w:val="16"/>
          <w:szCs w:val="16"/>
        </w:rPr>
        <w:t xml:space="preserve"> </w:t>
      </w:r>
      <w:proofErr w:type="spellStart"/>
      <w:r w:rsidR="0067076D" w:rsidRPr="00DD2853">
        <w:rPr>
          <w:color w:val="000000"/>
          <w:sz w:val="16"/>
          <w:szCs w:val="16"/>
        </w:rPr>
        <w:t>Institut</w:t>
      </w:r>
      <w:proofErr w:type="spellEnd"/>
      <w:r w:rsidR="0067076D" w:rsidRPr="00DD2853">
        <w:rPr>
          <w:color w:val="000000"/>
          <w:sz w:val="16"/>
          <w:szCs w:val="16"/>
        </w:rPr>
        <w:t xml:space="preserve"> National de la </w:t>
      </w:r>
      <w:proofErr w:type="spellStart"/>
      <w:r w:rsidR="0067076D" w:rsidRPr="00DD2853">
        <w:rPr>
          <w:color w:val="000000"/>
          <w:sz w:val="16"/>
          <w:szCs w:val="16"/>
        </w:rPr>
        <w:t>Statistique</w:t>
      </w:r>
      <w:proofErr w:type="spellEnd"/>
      <w:r w:rsidR="0067076D" w:rsidRPr="00DD2853">
        <w:rPr>
          <w:color w:val="000000"/>
          <w:sz w:val="16"/>
          <w:szCs w:val="16"/>
        </w:rPr>
        <w:t xml:space="preserve"> and ICF. 2023. </w:t>
      </w:r>
      <w:r w:rsidR="0067076D" w:rsidRPr="00802572">
        <w:rPr>
          <w:color w:val="000000"/>
          <w:sz w:val="16"/>
          <w:szCs w:val="16"/>
          <w:lang w:val="fr-FR"/>
        </w:rPr>
        <w:t>Côte d’Ivoire Enquête Démographique et de Santé 2021 Rapport final. Rockville, Maryland,</w:t>
      </w:r>
      <w:r w:rsidR="00FF33C3" w:rsidRPr="00802572">
        <w:rPr>
          <w:color w:val="000000"/>
          <w:sz w:val="16"/>
          <w:szCs w:val="16"/>
          <w:lang w:val="fr-FR"/>
        </w:rPr>
        <w:t xml:space="preserve"> </w:t>
      </w:r>
      <w:r w:rsidR="0067076D" w:rsidRPr="00802572">
        <w:rPr>
          <w:color w:val="000000"/>
          <w:sz w:val="16"/>
          <w:szCs w:val="16"/>
          <w:lang w:val="fr-FR"/>
        </w:rPr>
        <w:t xml:space="preserve">USA et la Côte </w:t>
      </w:r>
      <w:proofErr w:type="gramStart"/>
      <w:r w:rsidR="0067076D" w:rsidRPr="00802572">
        <w:rPr>
          <w:color w:val="000000"/>
          <w:sz w:val="16"/>
          <w:szCs w:val="16"/>
          <w:lang w:val="fr-FR"/>
        </w:rPr>
        <w:t>d’Ivoire:</w:t>
      </w:r>
      <w:proofErr w:type="gramEnd"/>
      <w:r w:rsidR="0067076D" w:rsidRPr="00802572">
        <w:rPr>
          <w:color w:val="000000"/>
          <w:sz w:val="16"/>
          <w:szCs w:val="16"/>
          <w:lang w:val="fr-FR"/>
        </w:rPr>
        <w:t xml:space="preserve"> INS et ICF. </w:t>
      </w:r>
      <w:r w:rsidR="0067076D" w:rsidRPr="00802572">
        <w:rPr>
          <w:color w:val="000000"/>
          <w:sz w:val="16"/>
          <w:szCs w:val="16"/>
        </w:rPr>
        <w:t xml:space="preserve">Available at </w:t>
      </w:r>
      <w:hyperlink r:id="rId4" w:history="1">
        <w:r w:rsidR="0067076D" w:rsidRPr="00802572">
          <w:rPr>
            <w:rStyle w:val="Hyperlink"/>
            <w:sz w:val="16"/>
            <w:szCs w:val="16"/>
          </w:rPr>
          <w:t>https://www.dhsprogram.com/pubs/pdf/FR385/FR385.pdf</w:t>
        </w:r>
      </w:hyperlink>
      <w:r w:rsidR="00734E7E" w:rsidRPr="00802572">
        <w:rPr>
          <w:color w:val="000000"/>
          <w:sz w:val="16"/>
          <w:szCs w:val="16"/>
        </w:rPr>
        <w:t>.</w:t>
      </w:r>
    </w:p>
  </w:footnote>
  <w:footnote w:id="7">
    <w:p w14:paraId="07BF7899" w14:textId="77777777" w:rsidR="00D7188F" w:rsidRPr="00DD2853" w:rsidRDefault="00D7188F" w:rsidP="00D7188F">
      <w:pPr>
        <w:pStyle w:val="FootnoteText"/>
        <w:rPr>
          <w:sz w:val="16"/>
          <w:szCs w:val="16"/>
        </w:rPr>
      </w:pPr>
      <w:r w:rsidRPr="00802572">
        <w:rPr>
          <w:rStyle w:val="FootnoteReference"/>
          <w:sz w:val="16"/>
          <w:szCs w:val="16"/>
        </w:rPr>
        <w:footnoteRef/>
      </w:r>
      <w:r w:rsidRPr="00802572">
        <w:rPr>
          <w:sz w:val="16"/>
          <w:szCs w:val="16"/>
          <w:lang w:val="fr-FR"/>
        </w:rPr>
        <w:t xml:space="preserve"> Raharinjatovo, J., </w:t>
      </w:r>
      <w:proofErr w:type="spellStart"/>
      <w:r w:rsidRPr="00802572">
        <w:rPr>
          <w:sz w:val="16"/>
          <w:szCs w:val="16"/>
          <w:lang w:val="fr-FR"/>
        </w:rPr>
        <w:t>Dabiré</w:t>
      </w:r>
      <w:proofErr w:type="spellEnd"/>
      <w:r w:rsidRPr="00802572">
        <w:rPr>
          <w:sz w:val="16"/>
          <w:szCs w:val="16"/>
          <w:lang w:val="fr-FR"/>
        </w:rPr>
        <w:t>, R.K., Esch, K. </w:t>
      </w:r>
      <w:r w:rsidRPr="00802572">
        <w:rPr>
          <w:i/>
          <w:iCs/>
          <w:sz w:val="16"/>
          <w:szCs w:val="16"/>
          <w:lang w:val="fr-FR"/>
        </w:rPr>
        <w:t>et al.</w:t>
      </w:r>
      <w:r w:rsidRPr="00802572">
        <w:rPr>
          <w:sz w:val="16"/>
          <w:szCs w:val="16"/>
          <w:lang w:val="fr-FR"/>
        </w:rPr>
        <w:t> </w:t>
      </w:r>
      <w:r w:rsidRPr="00802572">
        <w:rPr>
          <w:sz w:val="16"/>
          <w:szCs w:val="16"/>
        </w:rPr>
        <w:t>Physical and insecticidal durability of Interceptor</w:t>
      </w:r>
      <w:r w:rsidRPr="00802572">
        <w:rPr>
          <w:sz w:val="16"/>
          <w:szCs w:val="16"/>
          <w:vertAlign w:val="superscript"/>
        </w:rPr>
        <w:t>®</w:t>
      </w:r>
      <w:r w:rsidRPr="00802572">
        <w:rPr>
          <w:sz w:val="16"/>
          <w:szCs w:val="16"/>
        </w:rPr>
        <w:t>, Interceptor</w:t>
      </w:r>
      <w:r w:rsidRPr="00802572">
        <w:rPr>
          <w:sz w:val="16"/>
          <w:szCs w:val="16"/>
          <w:vertAlign w:val="superscript"/>
        </w:rPr>
        <w:t>®</w:t>
      </w:r>
      <w:r w:rsidRPr="00802572">
        <w:rPr>
          <w:sz w:val="16"/>
          <w:szCs w:val="16"/>
        </w:rPr>
        <w:t xml:space="preserve"> G2, and </w:t>
      </w:r>
      <w:proofErr w:type="spellStart"/>
      <w:r w:rsidRPr="00802572">
        <w:rPr>
          <w:sz w:val="16"/>
          <w:szCs w:val="16"/>
        </w:rPr>
        <w:t>PermaNet</w:t>
      </w:r>
      <w:proofErr w:type="spellEnd"/>
      <w:r w:rsidRPr="00802572">
        <w:rPr>
          <w:sz w:val="16"/>
          <w:szCs w:val="16"/>
          <w:vertAlign w:val="superscript"/>
        </w:rPr>
        <w:t>®</w:t>
      </w:r>
      <w:r w:rsidRPr="00802572">
        <w:rPr>
          <w:sz w:val="16"/>
          <w:szCs w:val="16"/>
        </w:rPr>
        <w:t> 3.0 insecticide-treated nets in Burkina Faso: results of durability monitoring in three sites from 2019 to 2022. </w:t>
      </w:r>
      <w:r w:rsidRPr="00DD2853">
        <w:rPr>
          <w:i/>
          <w:iCs/>
          <w:sz w:val="16"/>
          <w:szCs w:val="16"/>
        </w:rPr>
        <w:t>Malar J</w:t>
      </w:r>
      <w:r w:rsidRPr="00DD2853">
        <w:rPr>
          <w:sz w:val="16"/>
          <w:szCs w:val="16"/>
        </w:rPr>
        <w:t> </w:t>
      </w:r>
      <w:r w:rsidRPr="00DD2853">
        <w:rPr>
          <w:b/>
          <w:bCs/>
          <w:sz w:val="16"/>
          <w:szCs w:val="16"/>
        </w:rPr>
        <w:t>23</w:t>
      </w:r>
      <w:r w:rsidRPr="00DD2853">
        <w:rPr>
          <w:sz w:val="16"/>
          <w:szCs w:val="16"/>
        </w:rPr>
        <w:t>, 173 (2024). https://doi.org/10.1186/s12936-024-04989-w</w:t>
      </w:r>
    </w:p>
  </w:footnote>
  <w:footnote w:id="8">
    <w:p w14:paraId="578240D9" w14:textId="3271184E" w:rsidR="00D7188F" w:rsidRPr="00802572" w:rsidRDefault="00D7188F" w:rsidP="00D7188F">
      <w:pPr>
        <w:pStyle w:val="FootnoteText"/>
        <w:rPr>
          <w:sz w:val="16"/>
          <w:szCs w:val="16"/>
        </w:rPr>
      </w:pPr>
      <w:r w:rsidRPr="00802572">
        <w:rPr>
          <w:rStyle w:val="FootnoteReference"/>
          <w:sz w:val="16"/>
          <w:szCs w:val="16"/>
        </w:rPr>
        <w:footnoteRef/>
      </w:r>
      <w:r w:rsidRPr="00802572">
        <w:rPr>
          <w:sz w:val="16"/>
          <w:szCs w:val="16"/>
        </w:rPr>
        <w:t xml:space="preserve"> </w:t>
      </w:r>
      <w:r w:rsidR="007A331E">
        <w:rPr>
          <w:sz w:val="16"/>
          <w:szCs w:val="16"/>
        </w:rPr>
        <w:t>Manuscript</w:t>
      </w:r>
      <w:r w:rsidRPr="00802572">
        <w:rPr>
          <w:sz w:val="16"/>
          <w:szCs w:val="16"/>
        </w:rPr>
        <w:t xml:space="preserve"> not yet published. From baseline to the 36-month timepoint, the 24-hour mortality rate of </w:t>
      </w:r>
      <w:proofErr w:type="spellStart"/>
      <w:r w:rsidRPr="00802572">
        <w:rPr>
          <w:sz w:val="16"/>
          <w:szCs w:val="16"/>
        </w:rPr>
        <w:t>PermaNet</w:t>
      </w:r>
      <w:proofErr w:type="spellEnd"/>
      <w:r w:rsidRPr="00802572">
        <w:rPr>
          <w:sz w:val="16"/>
          <w:szCs w:val="16"/>
        </w:rPr>
        <w:t>® 3.0 on the roof panel dropped from 99% to 48%, while the PBO chemical content reduced from 15 g/kg to 5 g/kg.</w:t>
      </w:r>
      <w:r w:rsidR="007A331E">
        <w:rPr>
          <w:sz w:val="16"/>
          <w:szCs w:val="16"/>
        </w:rPr>
        <w:t xml:space="preserve"> </w:t>
      </w:r>
      <w:hyperlink r:id="rId5" w:history="1">
        <w:r w:rsidR="00A10AFA" w:rsidRPr="00A10AFA">
          <w:rPr>
            <w:rStyle w:val="Hyperlink"/>
            <w:sz w:val="16"/>
            <w:szCs w:val="16"/>
          </w:rPr>
          <w:t>PMI-Evolve-Rwanda-36M-ITN-DM-Report-APPROVED.docx (live.com)</w:t>
        </w:r>
      </w:hyperlink>
    </w:p>
  </w:footnote>
  <w:footnote w:id="9">
    <w:p w14:paraId="3AFEB8AC" w14:textId="7E17C173" w:rsidR="00D7188F" w:rsidRPr="00802572" w:rsidRDefault="00D7188F" w:rsidP="00D7188F">
      <w:pPr>
        <w:pStyle w:val="FootnoteText"/>
        <w:rPr>
          <w:sz w:val="16"/>
          <w:szCs w:val="16"/>
        </w:rPr>
      </w:pPr>
      <w:r w:rsidRPr="00802572">
        <w:rPr>
          <w:rStyle w:val="FootnoteReference"/>
          <w:sz w:val="16"/>
          <w:szCs w:val="16"/>
        </w:rPr>
        <w:footnoteRef/>
      </w:r>
      <w:r w:rsidRPr="00802572">
        <w:rPr>
          <w:sz w:val="16"/>
          <w:szCs w:val="16"/>
        </w:rPr>
        <w:t xml:space="preserve"> </w:t>
      </w:r>
      <w:r w:rsidR="005715C9">
        <w:rPr>
          <w:sz w:val="16"/>
          <w:szCs w:val="16"/>
        </w:rPr>
        <w:t>Manuscript</w:t>
      </w:r>
      <w:r w:rsidRPr="00802572">
        <w:rPr>
          <w:sz w:val="16"/>
          <w:szCs w:val="16"/>
        </w:rPr>
        <w:t xml:space="preserve"> not yet published. From baseline to the 36-month timepoint, the 24-hour mortality rate of </w:t>
      </w:r>
      <w:proofErr w:type="spellStart"/>
      <w:r w:rsidRPr="00802572">
        <w:rPr>
          <w:sz w:val="16"/>
          <w:szCs w:val="16"/>
        </w:rPr>
        <w:t>PermaNet</w:t>
      </w:r>
      <w:proofErr w:type="spellEnd"/>
      <w:r w:rsidRPr="00802572">
        <w:rPr>
          <w:sz w:val="16"/>
          <w:szCs w:val="16"/>
        </w:rPr>
        <w:t>® 3.0 on the roof panel dropped from 48% to 13%, while the PBO chemical content reduced from 16 g/kg to 13 g/kg.</w:t>
      </w:r>
      <w:r w:rsidR="005715C9" w:rsidRPr="005715C9">
        <w:rPr>
          <w:szCs w:val="22"/>
        </w:rPr>
        <w:t xml:space="preserve"> </w:t>
      </w:r>
      <w:hyperlink r:id="rId6" w:history="1">
        <w:r w:rsidR="005715C9" w:rsidRPr="005715C9">
          <w:rPr>
            <w:rStyle w:val="Hyperlink"/>
            <w:sz w:val="16"/>
            <w:szCs w:val="16"/>
          </w:rPr>
          <w:t>PMI-VectorLink-Sierra-Leone-36-Month-DM-Snapshot-with-Bioassays-and-Chemical-Results-clean.docx (live.com)</w:t>
        </w:r>
      </w:hyperlink>
    </w:p>
  </w:footnote>
  <w:footnote w:id="10">
    <w:p w14:paraId="58FF7147" w14:textId="77777777" w:rsidR="00D7188F" w:rsidRPr="004B4A58" w:rsidRDefault="00D7188F" w:rsidP="00D7188F">
      <w:pPr>
        <w:pStyle w:val="FootnoteText"/>
      </w:pPr>
      <w:r w:rsidRPr="00802572">
        <w:rPr>
          <w:rStyle w:val="FootnoteReference"/>
          <w:sz w:val="16"/>
          <w:szCs w:val="16"/>
        </w:rPr>
        <w:footnoteRef/>
      </w:r>
      <w:r w:rsidRPr="00802572">
        <w:rPr>
          <w:sz w:val="16"/>
          <w:szCs w:val="16"/>
        </w:rPr>
        <w:t xml:space="preserve"> Azizi S, Martin J, Mbewe NJ, </w:t>
      </w:r>
      <w:proofErr w:type="spellStart"/>
      <w:r w:rsidRPr="00802572">
        <w:rPr>
          <w:sz w:val="16"/>
          <w:szCs w:val="16"/>
        </w:rPr>
        <w:t>Msapalla</w:t>
      </w:r>
      <w:proofErr w:type="spellEnd"/>
      <w:r w:rsidRPr="00802572">
        <w:rPr>
          <w:sz w:val="16"/>
          <w:szCs w:val="16"/>
        </w:rPr>
        <w:t xml:space="preserve"> A, </w:t>
      </w:r>
      <w:proofErr w:type="spellStart"/>
      <w:r w:rsidRPr="00802572">
        <w:rPr>
          <w:sz w:val="16"/>
          <w:szCs w:val="16"/>
        </w:rPr>
        <w:t>Mwacha</w:t>
      </w:r>
      <w:proofErr w:type="spellEnd"/>
      <w:r w:rsidRPr="00802572">
        <w:rPr>
          <w:sz w:val="16"/>
          <w:szCs w:val="16"/>
        </w:rPr>
        <w:t xml:space="preserve"> S, Joram A, Mawa B, Kaaya RD, Kitau J, Mosha F, </w:t>
      </w:r>
      <w:proofErr w:type="spellStart"/>
      <w:r w:rsidRPr="00802572">
        <w:rPr>
          <w:sz w:val="16"/>
          <w:szCs w:val="16"/>
        </w:rPr>
        <w:t>Matowo</w:t>
      </w:r>
      <w:proofErr w:type="spellEnd"/>
      <w:r w:rsidRPr="00802572">
        <w:rPr>
          <w:sz w:val="16"/>
          <w:szCs w:val="16"/>
        </w:rPr>
        <w:t xml:space="preserve"> J, </w:t>
      </w:r>
      <w:proofErr w:type="spellStart"/>
      <w:r w:rsidRPr="00802572">
        <w:rPr>
          <w:sz w:val="16"/>
          <w:szCs w:val="16"/>
        </w:rPr>
        <w:t>Protopopoff</w:t>
      </w:r>
      <w:proofErr w:type="spellEnd"/>
      <w:r w:rsidRPr="00802572">
        <w:rPr>
          <w:sz w:val="16"/>
          <w:szCs w:val="16"/>
        </w:rPr>
        <w:t xml:space="preserve"> N. Evaluation of Durability as a Function of Fabric Strength and Residual Bio-Efficacy for the </w:t>
      </w:r>
      <w:proofErr w:type="spellStart"/>
      <w:r w:rsidRPr="00802572">
        <w:rPr>
          <w:sz w:val="16"/>
          <w:szCs w:val="16"/>
        </w:rPr>
        <w:t>Olyset</w:t>
      </w:r>
      <w:proofErr w:type="spellEnd"/>
      <w:r w:rsidRPr="00802572">
        <w:rPr>
          <w:sz w:val="16"/>
          <w:szCs w:val="16"/>
        </w:rPr>
        <w:t xml:space="preserve"> Plus and Interceptor G2 LLINs after 3 Years of Field Use in Tanzania. Trop Med Infect Dis. 2023 Jul 25;8(8):379. </w:t>
      </w:r>
      <w:proofErr w:type="spellStart"/>
      <w:r w:rsidRPr="00802572">
        <w:rPr>
          <w:sz w:val="16"/>
          <w:szCs w:val="16"/>
        </w:rPr>
        <w:t>doi</w:t>
      </w:r>
      <w:proofErr w:type="spellEnd"/>
      <w:r w:rsidRPr="00802572">
        <w:rPr>
          <w:sz w:val="16"/>
          <w:szCs w:val="16"/>
        </w:rPr>
        <w:t>: 10.3390/tropicalmed8080379. PMID: 37624317; PMCID: PMC10459516.</w:t>
      </w:r>
    </w:p>
  </w:footnote>
  <w:footnote w:id="11">
    <w:p w14:paraId="75C5D45A" w14:textId="4B807754" w:rsidR="009F27CB" w:rsidRPr="0039417A" w:rsidRDefault="009F27CB">
      <w:pPr>
        <w:pStyle w:val="FootnoteText"/>
      </w:pPr>
      <w:r>
        <w:rPr>
          <w:rStyle w:val="FootnoteReference"/>
        </w:rPr>
        <w:footnoteRef/>
      </w:r>
      <w:r w:rsidRPr="00110B48">
        <w:rPr>
          <w:lang w:val="fr-FR"/>
        </w:rPr>
        <w:t xml:space="preserve"> </w:t>
      </w:r>
      <w:proofErr w:type="spellStart"/>
      <w:r w:rsidRPr="00110B48">
        <w:rPr>
          <w:sz w:val="20"/>
          <w:szCs w:val="18"/>
          <w:lang w:val="fr-FR"/>
        </w:rPr>
        <w:t>Ahogni</w:t>
      </w:r>
      <w:proofErr w:type="spellEnd"/>
      <w:r w:rsidRPr="00110B48">
        <w:rPr>
          <w:sz w:val="20"/>
          <w:szCs w:val="18"/>
          <w:lang w:val="fr-FR"/>
        </w:rPr>
        <w:t xml:space="preserve">, I.B., </w:t>
      </w:r>
      <w:proofErr w:type="spellStart"/>
      <w:r w:rsidRPr="00110B48">
        <w:rPr>
          <w:sz w:val="20"/>
          <w:szCs w:val="18"/>
          <w:lang w:val="fr-FR"/>
        </w:rPr>
        <w:t>Salako</w:t>
      </w:r>
      <w:proofErr w:type="spellEnd"/>
      <w:r w:rsidRPr="00110B48">
        <w:rPr>
          <w:sz w:val="20"/>
          <w:szCs w:val="18"/>
          <w:lang w:val="fr-FR"/>
        </w:rPr>
        <w:t xml:space="preserve">, A.S., </w:t>
      </w:r>
      <w:proofErr w:type="spellStart"/>
      <w:r w:rsidRPr="00110B48">
        <w:rPr>
          <w:sz w:val="20"/>
          <w:szCs w:val="18"/>
          <w:lang w:val="fr-FR"/>
        </w:rPr>
        <w:t>Akinro</w:t>
      </w:r>
      <w:proofErr w:type="spellEnd"/>
      <w:r w:rsidRPr="00110B48">
        <w:rPr>
          <w:sz w:val="20"/>
          <w:szCs w:val="18"/>
          <w:lang w:val="fr-FR"/>
        </w:rPr>
        <w:t>, B. et al. </w:t>
      </w:r>
      <w:r w:rsidRPr="00945BCD">
        <w:rPr>
          <w:sz w:val="20"/>
          <w:szCs w:val="18"/>
        </w:rPr>
        <w:t>Physical integrity and survivorship of long-lasting insecticidal nets distributed to households of the same socio-cultural community in Benin, West Africa. Malar J 19, 58 (2020). https://doi.org/10.1186/s12936-020-3138-7</w:t>
      </w:r>
    </w:p>
  </w:footnote>
  <w:footnote w:id="12">
    <w:p w14:paraId="1A87DDB5" w14:textId="233D7F6F" w:rsidR="005A44D4" w:rsidRPr="00945BCD" w:rsidRDefault="005A44D4" w:rsidP="00293B0C">
      <w:pPr>
        <w:pStyle w:val="FootnoteText"/>
        <w:rPr>
          <w:sz w:val="20"/>
        </w:rPr>
      </w:pPr>
      <w:r w:rsidRPr="00273F7C">
        <w:rPr>
          <w:rStyle w:val="FootnoteReference"/>
          <w:szCs w:val="22"/>
        </w:rPr>
        <w:footnoteRef/>
      </w:r>
      <w:r w:rsidRPr="00273F7C">
        <w:rPr>
          <w:szCs w:val="22"/>
        </w:rPr>
        <w:t xml:space="preserve"> </w:t>
      </w:r>
      <w:r w:rsidRPr="00945BCD">
        <w:rPr>
          <w:sz w:val="20"/>
        </w:rPr>
        <w:t xml:space="preserve">PMI </w:t>
      </w:r>
      <w:r w:rsidR="000F24B5" w:rsidRPr="00945BCD">
        <w:rPr>
          <w:sz w:val="20"/>
        </w:rPr>
        <w:t xml:space="preserve">Evolve Project. </w:t>
      </w:r>
      <w:r w:rsidR="002A1A5B" w:rsidRPr="00945BCD">
        <w:rPr>
          <w:sz w:val="20"/>
        </w:rPr>
        <w:t xml:space="preserve">Durability Monitoring Toolkit: English (Barcodes). Available at: </w:t>
      </w:r>
      <w:hyperlink r:id="rId7" w:history="1">
        <w:r w:rsidR="002A1A5B" w:rsidRPr="00945BCD">
          <w:rPr>
            <w:rStyle w:val="Hyperlink"/>
            <w:sz w:val="20"/>
          </w:rPr>
          <w:t>Tools | LLIN Durability Monitoring</w:t>
        </w:r>
      </w:hyperlink>
    </w:p>
  </w:footnote>
  <w:footnote w:id="13">
    <w:p w14:paraId="45A188E3" w14:textId="4BD8A819" w:rsidR="00F2085F" w:rsidRPr="00945BCD" w:rsidRDefault="00F2085F" w:rsidP="00293B0C">
      <w:pPr>
        <w:pStyle w:val="1-BodyText"/>
        <w:spacing w:after="0"/>
        <w:rPr>
          <w:sz w:val="20"/>
          <w:szCs w:val="20"/>
        </w:rPr>
      </w:pPr>
      <w:r w:rsidRPr="00945BCD">
        <w:rPr>
          <w:rStyle w:val="FootnoteReference"/>
          <w:sz w:val="20"/>
          <w:szCs w:val="20"/>
        </w:rPr>
        <w:footnoteRef/>
      </w:r>
      <w:r w:rsidRPr="00945BCD">
        <w:rPr>
          <w:sz w:val="20"/>
          <w:szCs w:val="20"/>
        </w:rPr>
        <w:t xml:space="preserve"> The high percentage of cohort ITNs surviving in serviceable condition was driven by a low percentage of </w:t>
      </w:r>
      <w:r w:rsidR="000147E7" w:rsidRPr="00945BCD">
        <w:rPr>
          <w:sz w:val="20"/>
          <w:szCs w:val="20"/>
        </w:rPr>
        <w:t>ever-hung cohort ITNs</w:t>
      </w:r>
      <w:r w:rsidRPr="00945BCD">
        <w:rPr>
          <w:sz w:val="20"/>
          <w:szCs w:val="20"/>
        </w:rPr>
        <w:t xml:space="preserve"> at study</w:t>
      </w:r>
      <w:r w:rsidR="00FF33C3" w:rsidRPr="00945BCD">
        <w:rPr>
          <w:sz w:val="20"/>
          <w:szCs w:val="20"/>
        </w:rPr>
        <w:t xml:space="preserve"> </w:t>
      </w:r>
      <w:r w:rsidRPr="00945BCD">
        <w:rPr>
          <w:sz w:val="20"/>
          <w:szCs w:val="20"/>
        </w:rPr>
        <w:t xml:space="preserve">endline (56% in </w:t>
      </w:r>
      <w:proofErr w:type="spellStart"/>
      <w:r w:rsidRPr="00945BCD">
        <w:rPr>
          <w:sz w:val="20"/>
          <w:szCs w:val="20"/>
        </w:rPr>
        <w:t>Aboisso</w:t>
      </w:r>
      <w:proofErr w:type="spellEnd"/>
      <w:r w:rsidRPr="00945BCD">
        <w:rPr>
          <w:sz w:val="20"/>
          <w:szCs w:val="20"/>
        </w:rPr>
        <w:t xml:space="preserve"> an</w:t>
      </w:r>
      <w:r w:rsidR="008950CF" w:rsidRPr="00945BCD">
        <w:rPr>
          <w:sz w:val="20"/>
          <w:szCs w:val="20"/>
        </w:rPr>
        <w:t>d</w:t>
      </w:r>
      <w:r w:rsidRPr="00945BCD">
        <w:rPr>
          <w:sz w:val="20"/>
          <w:szCs w:val="20"/>
        </w:rPr>
        <w:t xml:space="preserve"> 61% in </w:t>
      </w:r>
      <w:proofErr w:type="spellStart"/>
      <w:r w:rsidRPr="00945BCD">
        <w:rPr>
          <w:sz w:val="20"/>
          <w:szCs w:val="20"/>
        </w:rPr>
        <w:t>Abengourou</w:t>
      </w:r>
      <w:proofErr w:type="spellEnd"/>
      <w:r w:rsidRPr="00945BCD">
        <w:rPr>
          <w:sz w:val="20"/>
          <w:szCs w:val="20"/>
        </w:rPr>
        <w:t>)</w:t>
      </w:r>
      <w:r w:rsidR="001F0FA8" w:rsidRPr="00945BCD">
        <w:rPr>
          <w:sz w:val="20"/>
          <w:szCs w:val="20"/>
        </w:rPr>
        <w:t>.</w:t>
      </w:r>
      <w:r w:rsidRPr="00945BCD">
        <w:rPr>
          <w:sz w:val="20"/>
          <w:szCs w:val="20"/>
        </w:rPr>
        <w:t xml:space="preserve"> </w:t>
      </w:r>
    </w:p>
    <w:p w14:paraId="610D5091" w14:textId="77777777" w:rsidR="00F2085F" w:rsidRDefault="00F2085F" w:rsidP="00F2085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B7" w14:textId="77777777" w:rsidR="00C12A95" w:rsidRDefault="00C12A95">
    <w:pPr>
      <w:pBdr>
        <w:top w:val="nil"/>
        <w:left w:val="nil"/>
        <w:bottom w:val="nil"/>
        <w:right w:val="nil"/>
        <w:between w:val="nil"/>
      </w:pBdr>
      <w:tabs>
        <w:tab w:val="center" w:pos="4680"/>
        <w:tab w:val="right" w:pos="9360"/>
      </w:tabs>
      <w:spacing w:after="0"/>
      <w:rPr>
        <w:rFonts w:ascii="Gill Sans" w:hAnsi="Gill Sans"/>
        <w:color w:val="000000"/>
      </w:rPr>
    </w:pPr>
  </w:p>
  <w:p w14:paraId="4B38DBB8" w14:textId="77777777" w:rsidR="00C12A95" w:rsidRDefault="00C12A95"/>
  <w:p w14:paraId="4B38DBB9" w14:textId="77777777" w:rsidR="00C12A95" w:rsidRDefault="00C12A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BA" w14:textId="77777777" w:rsidR="00C12A95" w:rsidRDefault="00C12A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DBC2" w14:textId="77777777" w:rsidR="00C12A95" w:rsidRDefault="00C12A95">
    <w:pPr>
      <w:pBdr>
        <w:top w:val="nil"/>
        <w:left w:val="nil"/>
        <w:bottom w:val="nil"/>
        <w:right w:val="nil"/>
        <w:between w:val="nil"/>
      </w:pBdr>
      <w:tabs>
        <w:tab w:val="center" w:pos="4680"/>
        <w:tab w:val="right" w:pos="9360"/>
      </w:tabs>
      <w:spacing w:after="0"/>
      <w:rPr>
        <w:rFonts w:ascii="Gill Sans" w:hAnsi="Gill Sans"/>
        <w:color w:val="000000"/>
      </w:rPr>
    </w:pPr>
  </w:p>
  <w:p w14:paraId="4B38DBC3" w14:textId="77777777" w:rsidR="00C12A95" w:rsidRDefault="00C12A95"/>
  <w:p w14:paraId="4B38DBC4" w14:textId="77777777" w:rsidR="00C12A95" w:rsidRDefault="00C12A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E76"/>
    <w:multiLevelType w:val="hybridMultilevel"/>
    <w:tmpl w:val="EC669D44"/>
    <w:lvl w:ilvl="0" w:tplc="DF4E4D9A">
      <w:start w:val="1"/>
      <w:numFmt w:val="decimal"/>
      <w:lvlText w:val="%1."/>
      <w:lvlJc w:val="left"/>
      <w:pPr>
        <w:ind w:left="720" w:hanging="360"/>
      </w:pPr>
    </w:lvl>
    <w:lvl w:ilvl="1" w:tplc="7916B368">
      <w:start w:val="1"/>
      <w:numFmt w:val="decimal"/>
      <w:lvlText w:val="%2."/>
      <w:lvlJc w:val="left"/>
      <w:pPr>
        <w:ind w:left="720" w:hanging="360"/>
      </w:pPr>
    </w:lvl>
    <w:lvl w:ilvl="2" w:tplc="232A4B62">
      <w:start w:val="1"/>
      <w:numFmt w:val="decimal"/>
      <w:lvlText w:val="%3."/>
      <w:lvlJc w:val="left"/>
      <w:pPr>
        <w:ind w:left="720" w:hanging="360"/>
      </w:pPr>
    </w:lvl>
    <w:lvl w:ilvl="3" w:tplc="79A060FA">
      <w:start w:val="1"/>
      <w:numFmt w:val="decimal"/>
      <w:lvlText w:val="%4."/>
      <w:lvlJc w:val="left"/>
      <w:pPr>
        <w:ind w:left="720" w:hanging="360"/>
      </w:pPr>
    </w:lvl>
    <w:lvl w:ilvl="4" w:tplc="C296A6C0">
      <w:start w:val="1"/>
      <w:numFmt w:val="decimal"/>
      <w:lvlText w:val="%5."/>
      <w:lvlJc w:val="left"/>
      <w:pPr>
        <w:ind w:left="720" w:hanging="360"/>
      </w:pPr>
    </w:lvl>
    <w:lvl w:ilvl="5" w:tplc="802A6122">
      <w:start w:val="1"/>
      <w:numFmt w:val="decimal"/>
      <w:lvlText w:val="%6."/>
      <w:lvlJc w:val="left"/>
      <w:pPr>
        <w:ind w:left="720" w:hanging="360"/>
      </w:pPr>
    </w:lvl>
    <w:lvl w:ilvl="6" w:tplc="CBCE38B6">
      <w:start w:val="1"/>
      <w:numFmt w:val="decimal"/>
      <w:lvlText w:val="%7."/>
      <w:lvlJc w:val="left"/>
      <w:pPr>
        <w:ind w:left="720" w:hanging="360"/>
      </w:pPr>
    </w:lvl>
    <w:lvl w:ilvl="7" w:tplc="00229272">
      <w:start w:val="1"/>
      <w:numFmt w:val="decimal"/>
      <w:lvlText w:val="%8."/>
      <w:lvlJc w:val="left"/>
      <w:pPr>
        <w:ind w:left="720" w:hanging="360"/>
      </w:pPr>
    </w:lvl>
    <w:lvl w:ilvl="8" w:tplc="B674ED78">
      <w:start w:val="1"/>
      <w:numFmt w:val="decimal"/>
      <w:lvlText w:val="%9."/>
      <w:lvlJc w:val="left"/>
      <w:pPr>
        <w:ind w:left="720" w:hanging="360"/>
      </w:pPr>
    </w:lvl>
  </w:abstractNum>
  <w:abstractNum w:abstractNumId="1" w15:restartNumberingAfterBreak="0">
    <w:nsid w:val="128B165A"/>
    <w:multiLevelType w:val="hybridMultilevel"/>
    <w:tmpl w:val="59D4A30A"/>
    <w:lvl w:ilvl="0" w:tplc="5F5CD49A">
      <w:start w:val="1"/>
      <w:numFmt w:val="decimal"/>
      <w:lvlText w:val="%1."/>
      <w:lvlJc w:val="left"/>
      <w:pPr>
        <w:ind w:left="1020" w:hanging="360"/>
      </w:pPr>
    </w:lvl>
    <w:lvl w:ilvl="1" w:tplc="B4B2B998">
      <w:start w:val="1"/>
      <w:numFmt w:val="decimal"/>
      <w:lvlText w:val="%2."/>
      <w:lvlJc w:val="left"/>
      <w:pPr>
        <w:ind w:left="1020" w:hanging="360"/>
      </w:pPr>
    </w:lvl>
    <w:lvl w:ilvl="2" w:tplc="96386048">
      <w:start w:val="1"/>
      <w:numFmt w:val="decimal"/>
      <w:lvlText w:val="%3."/>
      <w:lvlJc w:val="left"/>
      <w:pPr>
        <w:ind w:left="1020" w:hanging="360"/>
      </w:pPr>
    </w:lvl>
    <w:lvl w:ilvl="3" w:tplc="0BF86710">
      <w:start w:val="1"/>
      <w:numFmt w:val="decimal"/>
      <w:lvlText w:val="%4."/>
      <w:lvlJc w:val="left"/>
      <w:pPr>
        <w:ind w:left="1020" w:hanging="360"/>
      </w:pPr>
    </w:lvl>
    <w:lvl w:ilvl="4" w:tplc="5C9A1E38">
      <w:start w:val="1"/>
      <w:numFmt w:val="decimal"/>
      <w:lvlText w:val="%5."/>
      <w:lvlJc w:val="left"/>
      <w:pPr>
        <w:ind w:left="1020" w:hanging="360"/>
      </w:pPr>
    </w:lvl>
    <w:lvl w:ilvl="5" w:tplc="C79E8222">
      <w:start w:val="1"/>
      <w:numFmt w:val="decimal"/>
      <w:lvlText w:val="%6."/>
      <w:lvlJc w:val="left"/>
      <w:pPr>
        <w:ind w:left="1020" w:hanging="360"/>
      </w:pPr>
    </w:lvl>
    <w:lvl w:ilvl="6" w:tplc="D82A5C4E">
      <w:start w:val="1"/>
      <w:numFmt w:val="decimal"/>
      <w:lvlText w:val="%7."/>
      <w:lvlJc w:val="left"/>
      <w:pPr>
        <w:ind w:left="1020" w:hanging="360"/>
      </w:pPr>
    </w:lvl>
    <w:lvl w:ilvl="7" w:tplc="99EA3DE2">
      <w:start w:val="1"/>
      <w:numFmt w:val="decimal"/>
      <w:lvlText w:val="%8."/>
      <w:lvlJc w:val="left"/>
      <w:pPr>
        <w:ind w:left="1020" w:hanging="360"/>
      </w:pPr>
    </w:lvl>
    <w:lvl w:ilvl="8" w:tplc="79366D6A">
      <w:start w:val="1"/>
      <w:numFmt w:val="decimal"/>
      <w:lvlText w:val="%9."/>
      <w:lvlJc w:val="left"/>
      <w:pPr>
        <w:ind w:left="1020" w:hanging="360"/>
      </w:pPr>
    </w:lvl>
  </w:abstractNum>
  <w:abstractNum w:abstractNumId="2" w15:restartNumberingAfterBreak="0">
    <w:nsid w:val="17654573"/>
    <w:multiLevelType w:val="hybridMultilevel"/>
    <w:tmpl w:val="08AAB988"/>
    <w:lvl w:ilvl="0" w:tplc="40EC1374">
      <w:start w:val="1"/>
      <w:numFmt w:val="decimal"/>
      <w:lvlText w:val="%1."/>
      <w:lvlJc w:val="left"/>
      <w:pPr>
        <w:ind w:left="1020" w:hanging="360"/>
      </w:pPr>
    </w:lvl>
    <w:lvl w:ilvl="1" w:tplc="88DE41FC">
      <w:start w:val="1"/>
      <w:numFmt w:val="decimal"/>
      <w:lvlText w:val="%2."/>
      <w:lvlJc w:val="left"/>
      <w:pPr>
        <w:ind w:left="1020" w:hanging="360"/>
      </w:pPr>
    </w:lvl>
    <w:lvl w:ilvl="2" w:tplc="D3924332">
      <w:start w:val="1"/>
      <w:numFmt w:val="decimal"/>
      <w:lvlText w:val="%3."/>
      <w:lvlJc w:val="left"/>
      <w:pPr>
        <w:ind w:left="1020" w:hanging="360"/>
      </w:pPr>
    </w:lvl>
    <w:lvl w:ilvl="3" w:tplc="49443224">
      <w:start w:val="1"/>
      <w:numFmt w:val="decimal"/>
      <w:lvlText w:val="%4."/>
      <w:lvlJc w:val="left"/>
      <w:pPr>
        <w:ind w:left="1020" w:hanging="360"/>
      </w:pPr>
    </w:lvl>
    <w:lvl w:ilvl="4" w:tplc="012691D8">
      <w:start w:val="1"/>
      <w:numFmt w:val="decimal"/>
      <w:lvlText w:val="%5."/>
      <w:lvlJc w:val="left"/>
      <w:pPr>
        <w:ind w:left="1020" w:hanging="360"/>
      </w:pPr>
    </w:lvl>
    <w:lvl w:ilvl="5" w:tplc="992EE2D6">
      <w:start w:val="1"/>
      <w:numFmt w:val="decimal"/>
      <w:lvlText w:val="%6."/>
      <w:lvlJc w:val="left"/>
      <w:pPr>
        <w:ind w:left="1020" w:hanging="360"/>
      </w:pPr>
    </w:lvl>
    <w:lvl w:ilvl="6" w:tplc="AA98F8EA">
      <w:start w:val="1"/>
      <w:numFmt w:val="decimal"/>
      <w:lvlText w:val="%7."/>
      <w:lvlJc w:val="left"/>
      <w:pPr>
        <w:ind w:left="1020" w:hanging="360"/>
      </w:pPr>
    </w:lvl>
    <w:lvl w:ilvl="7" w:tplc="E35857DC">
      <w:start w:val="1"/>
      <w:numFmt w:val="decimal"/>
      <w:lvlText w:val="%8."/>
      <w:lvlJc w:val="left"/>
      <w:pPr>
        <w:ind w:left="1020" w:hanging="360"/>
      </w:pPr>
    </w:lvl>
    <w:lvl w:ilvl="8" w:tplc="2B2EDB4E">
      <w:start w:val="1"/>
      <w:numFmt w:val="decimal"/>
      <w:lvlText w:val="%9."/>
      <w:lvlJc w:val="left"/>
      <w:pPr>
        <w:ind w:left="1020" w:hanging="360"/>
      </w:pPr>
    </w:lvl>
  </w:abstractNum>
  <w:abstractNum w:abstractNumId="3" w15:restartNumberingAfterBreak="0">
    <w:nsid w:val="22566D95"/>
    <w:multiLevelType w:val="hybridMultilevel"/>
    <w:tmpl w:val="8D2AF8A6"/>
    <w:lvl w:ilvl="0" w:tplc="8970335C">
      <w:start w:val="1"/>
      <w:numFmt w:val="decimal"/>
      <w:lvlText w:val="%1."/>
      <w:lvlJc w:val="left"/>
      <w:pPr>
        <w:ind w:left="720" w:hanging="360"/>
      </w:pPr>
    </w:lvl>
    <w:lvl w:ilvl="1" w:tplc="BABA1AB2">
      <w:start w:val="1"/>
      <w:numFmt w:val="decimal"/>
      <w:lvlText w:val="%2."/>
      <w:lvlJc w:val="left"/>
      <w:pPr>
        <w:ind w:left="720" w:hanging="360"/>
      </w:pPr>
    </w:lvl>
    <w:lvl w:ilvl="2" w:tplc="7EEED374">
      <w:start w:val="1"/>
      <w:numFmt w:val="decimal"/>
      <w:lvlText w:val="%3."/>
      <w:lvlJc w:val="left"/>
      <w:pPr>
        <w:ind w:left="720" w:hanging="360"/>
      </w:pPr>
    </w:lvl>
    <w:lvl w:ilvl="3" w:tplc="C7E2CFF6">
      <w:start w:val="1"/>
      <w:numFmt w:val="decimal"/>
      <w:lvlText w:val="%4."/>
      <w:lvlJc w:val="left"/>
      <w:pPr>
        <w:ind w:left="720" w:hanging="360"/>
      </w:pPr>
    </w:lvl>
    <w:lvl w:ilvl="4" w:tplc="BCDA730E">
      <w:start w:val="1"/>
      <w:numFmt w:val="decimal"/>
      <w:lvlText w:val="%5."/>
      <w:lvlJc w:val="left"/>
      <w:pPr>
        <w:ind w:left="720" w:hanging="360"/>
      </w:pPr>
    </w:lvl>
    <w:lvl w:ilvl="5" w:tplc="5C1E5124">
      <w:start w:val="1"/>
      <w:numFmt w:val="decimal"/>
      <w:lvlText w:val="%6."/>
      <w:lvlJc w:val="left"/>
      <w:pPr>
        <w:ind w:left="720" w:hanging="360"/>
      </w:pPr>
    </w:lvl>
    <w:lvl w:ilvl="6" w:tplc="4350ACA4">
      <w:start w:val="1"/>
      <w:numFmt w:val="decimal"/>
      <w:lvlText w:val="%7."/>
      <w:lvlJc w:val="left"/>
      <w:pPr>
        <w:ind w:left="720" w:hanging="360"/>
      </w:pPr>
    </w:lvl>
    <w:lvl w:ilvl="7" w:tplc="9E2EE4E4">
      <w:start w:val="1"/>
      <w:numFmt w:val="decimal"/>
      <w:lvlText w:val="%8."/>
      <w:lvlJc w:val="left"/>
      <w:pPr>
        <w:ind w:left="720" w:hanging="360"/>
      </w:pPr>
    </w:lvl>
    <w:lvl w:ilvl="8" w:tplc="A1363830">
      <w:start w:val="1"/>
      <w:numFmt w:val="decimal"/>
      <w:lvlText w:val="%9."/>
      <w:lvlJc w:val="left"/>
      <w:pPr>
        <w:ind w:left="720" w:hanging="360"/>
      </w:pPr>
    </w:lvl>
  </w:abstractNum>
  <w:abstractNum w:abstractNumId="4" w15:restartNumberingAfterBreak="0">
    <w:nsid w:val="23787289"/>
    <w:multiLevelType w:val="hybridMultilevel"/>
    <w:tmpl w:val="C10699D8"/>
    <w:lvl w:ilvl="0" w:tplc="5FCEBFAC">
      <w:numFmt w:val="bullet"/>
      <w:lvlText w:val="-"/>
      <w:lvlJc w:val="left"/>
      <w:pPr>
        <w:ind w:left="720" w:hanging="360"/>
      </w:pPr>
      <w:rPr>
        <w:rFonts w:ascii="Gill Sans Nova Light" w:eastAsia="Gill Sans" w:hAnsi="Gill Sans Nova Light"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30C73"/>
    <w:multiLevelType w:val="hybridMultilevel"/>
    <w:tmpl w:val="B0264380"/>
    <w:lvl w:ilvl="0" w:tplc="F176BE32">
      <w:start w:val="1"/>
      <w:numFmt w:val="decimal"/>
      <w:lvlText w:val="%1."/>
      <w:lvlJc w:val="left"/>
      <w:pPr>
        <w:ind w:left="720" w:hanging="360"/>
      </w:pPr>
    </w:lvl>
    <w:lvl w:ilvl="1" w:tplc="2E36147C">
      <w:start w:val="1"/>
      <w:numFmt w:val="decimal"/>
      <w:lvlText w:val="%2."/>
      <w:lvlJc w:val="left"/>
      <w:pPr>
        <w:ind w:left="720" w:hanging="360"/>
      </w:pPr>
    </w:lvl>
    <w:lvl w:ilvl="2" w:tplc="5B08B4FA">
      <w:start w:val="1"/>
      <w:numFmt w:val="decimal"/>
      <w:lvlText w:val="%3."/>
      <w:lvlJc w:val="left"/>
      <w:pPr>
        <w:ind w:left="720" w:hanging="360"/>
      </w:pPr>
    </w:lvl>
    <w:lvl w:ilvl="3" w:tplc="8F68F680">
      <w:start w:val="1"/>
      <w:numFmt w:val="decimal"/>
      <w:lvlText w:val="%4."/>
      <w:lvlJc w:val="left"/>
      <w:pPr>
        <w:ind w:left="720" w:hanging="360"/>
      </w:pPr>
    </w:lvl>
    <w:lvl w:ilvl="4" w:tplc="224E64D2">
      <w:start w:val="1"/>
      <w:numFmt w:val="decimal"/>
      <w:lvlText w:val="%5."/>
      <w:lvlJc w:val="left"/>
      <w:pPr>
        <w:ind w:left="720" w:hanging="360"/>
      </w:pPr>
    </w:lvl>
    <w:lvl w:ilvl="5" w:tplc="43C0AD8C">
      <w:start w:val="1"/>
      <w:numFmt w:val="decimal"/>
      <w:lvlText w:val="%6."/>
      <w:lvlJc w:val="left"/>
      <w:pPr>
        <w:ind w:left="720" w:hanging="360"/>
      </w:pPr>
    </w:lvl>
    <w:lvl w:ilvl="6" w:tplc="7EA028C4">
      <w:start w:val="1"/>
      <w:numFmt w:val="decimal"/>
      <w:lvlText w:val="%7."/>
      <w:lvlJc w:val="left"/>
      <w:pPr>
        <w:ind w:left="720" w:hanging="360"/>
      </w:pPr>
    </w:lvl>
    <w:lvl w:ilvl="7" w:tplc="487C2724">
      <w:start w:val="1"/>
      <w:numFmt w:val="decimal"/>
      <w:lvlText w:val="%8."/>
      <w:lvlJc w:val="left"/>
      <w:pPr>
        <w:ind w:left="720" w:hanging="360"/>
      </w:pPr>
    </w:lvl>
    <w:lvl w:ilvl="8" w:tplc="124A08FE">
      <w:start w:val="1"/>
      <w:numFmt w:val="decimal"/>
      <w:lvlText w:val="%9."/>
      <w:lvlJc w:val="left"/>
      <w:pPr>
        <w:ind w:left="720" w:hanging="360"/>
      </w:pPr>
    </w:lvl>
  </w:abstractNum>
  <w:abstractNum w:abstractNumId="6" w15:restartNumberingAfterBreak="0">
    <w:nsid w:val="51D47B64"/>
    <w:multiLevelType w:val="hybridMultilevel"/>
    <w:tmpl w:val="1E808E2C"/>
    <w:lvl w:ilvl="0" w:tplc="A92A1A2C">
      <w:start w:val="1"/>
      <w:numFmt w:val="decimal"/>
      <w:lvlText w:val="%1."/>
      <w:lvlJc w:val="left"/>
      <w:pPr>
        <w:ind w:left="720" w:hanging="360"/>
      </w:pPr>
    </w:lvl>
    <w:lvl w:ilvl="1" w:tplc="6BF071F6">
      <w:start w:val="1"/>
      <w:numFmt w:val="decimal"/>
      <w:lvlText w:val="%2."/>
      <w:lvlJc w:val="left"/>
      <w:pPr>
        <w:ind w:left="720" w:hanging="360"/>
      </w:pPr>
    </w:lvl>
    <w:lvl w:ilvl="2" w:tplc="8EDAD93A">
      <w:start w:val="1"/>
      <w:numFmt w:val="decimal"/>
      <w:lvlText w:val="%3."/>
      <w:lvlJc w:val="left"/>
      <w:pPr>
        <w:ind w:left="720" w:hanging="360"/>
      </w:pPr>
    </w:lvl>
    <w:lvl w:ilvl="3" w:tplc="3E5C9F10">
      <w:start w:val="1"/>
      <w:numFmt w:val="decimal"/>
      <w:lvlText w:val="%4."/>
      <w:lvlJc w:val="left"/>
      <w:pPr>
        <w:ind w:left="720" w:hanging="360"/>
      </w:pPr>
    </w:lvl>
    <w:lvl w:ilvl="4" w:tplc="92ECD0C8">
      <w:start w:val="1"/>
      <w:numFmt w:val="decimal"/>
      <w:lvlText w:val="%5."/>
      <w:lvlJc w:val="left"/>
      <w:pPr>
        <w:ind w:left="720" w:hanging="360"/>
      </w:pPr>
    </w:lvl>
    <w:lvl w:ilvl="5" w:tplc="3CA4D43E">
      <w:start w:val="1"/>
      <w:numFmt w:val="decimal"/>
      <w:lvlText w:val="%6."/>
      <w:lvlJc w:val="left"/>
      <w:pPr>
        <w:ind w:left="720" w:hanging="360"/>
      </w:pPr>
    </w:lvl>
    <w:lvl w:ilvl="6" w:tplc="DA625DC2">
      <w:start w:val="1"/>
      <w:numFmt w:val="decimal"/>
      <w:lvlText w:val="%7."/>
      <w:lvlJc w:val="left"/>
      <w:pPr>
        <w:ind w:left="720" w:hanging="360"/>
      </w:pPr>
    </w:lvl>
    <w:lvl w:ilvl="7" w:tplc="31224D92">
      <w:start w:val="1"/>
      <w:numFmt w:val="decimal"/>
      <w:lvlText w:val="%8."/>
      <w:lvlJc w:val="left"/>
      <w:pPr>
        <w:ind w:left="720" w:hanging="360"/>
      </w:pPr>
    </w:lvl>
    <w:lvl w:ilvl="8" w:tplc="31EC84BC">
      <w:start w:val="1"/>
      <w:numFmt w:val="decimal"/>
      <w:lvlText w:val="%9."/>
      <w:lvlJc w:val="left"/>
      <w:pPr>
        <w:ind w:left="720" w:hanging="360"/>
      </w:pPr>
    </w:lvl>
  </w:abstractNum>
  <w:abstractNum w:abstractNumId="7" w15:restartNumberingAfterBreak="0">
    <w:nsid w:val="581E4D3A"/>
    <w:multiLevelType w:val="hybridMultilevel"/>
    <w:tmpl w:val="044C5B70"/>
    <w:lvl w:ilvl="0" w:tplc="520634F2">
      <w:start w:val="1"/>
      <w:numFmt w:val="decimal"/>
      <w:lvlText w:val="%1."/>
      <w:lvlJc w:val="left"/>
      <w:pPr>
        <w:ind w:left="1020" w:hanging="360"/>
      </w:pPr>
    </w:lvl>
    <w:lvl w:ilvl="1" w:tplc="B1A211AE">
      <w:start w:val="1"/>
      <w:numFmt w:val="decimal"/>
      <w:lvlText w:val="%2."/>
      <w:lvlJc w:val="left"/>
      <w:pPr>
        <w:ind w:left="1020" w:hanging="360"/>
      </w:pPr>
    </w:lvl>
    <w:lvl w:ilvl="2" w:tplc="A03A6B6E">
      <w:start w:val="1"/>
      <w:numFmt w:val="decimal"/>
      <w:lvlText w:val="%3."/>
      <w:lvlJc w:val="left"/>
      <w:pPr>
        <w:ind w:left="1020" w:hanging="360"/>
      </w:pPr>
    </w:lvl>
    <w:lvl w:ilvl="3" w:tplc="DF204A72">
      <w:start w:val="1"/>
      <w:numFmt w:val="decimal"/>
      <w:lvlText w:val="%4."/>
      <w:lvlJc w:val="left"/>
      <w:pPr>
        <w:ind w:left="1020" w:hanging="360"/>
      </w:pPr>
    </w:lvl>
    <w:lvl w:ilvl="4" w:tplc="8F44B0A4">
      <w:start w:val="1"/>
      <w:numFmt w:val="decimal"/>
      <w:lvlText w:val="%5."/>
      <w:lvlJc w:val="left"/>
      <w:pPr>
        <w:ind w:left="1020" w:hanging="360"/>
      </w:pPr>
    </w:lvl>
    <w:lvl w:ilvl="5" w:tplc="06DC60E8">
      <w:start w:val="1"/>
      <w:numFmt w:val="decimal"/>
      <w:lvlText w:val="%6."/>
      <w:lvlJc w:val="left"/>
      <w:pPr>
        <w:ind w:left="1020" w:hanging="360"/>
      </w:pPr>
    </w:lvl>
    <w:lvl w:ilvl="6" w:tplc="323EBEE6">
      <w:start w:val="1"/>
      <w:numFmt w:val="decimal"/>
      <w:lvlText w:val="%7."/>
      <w:lvlJc w:val="left"/>
      <w:pPr>
        <w:ind w:left="1020" w:hanging="360"/>
      </w:pPr>
    </w:lvl>
    <w:lvl w:ilvl="7" w:tplc="09126F80">
      <w:start w:val="1"/>
      <w:numFmt w:val="decimal"/>
      <w:lvlText w:val="%8."/>
      <w:lvlJc w:val="left"/>
      <w:pPr>
        <w:ind w:left="1020" w:hanging="360"/>
      </w:pPr>
    </w:lvl>
    <w:lvl w:ilvl="8" w:tplc="0A0830D4">
      <w:start w:val="1"/>
      <w:numFmt w:val="decimal"/>
      <w:lvlText w:val="%9."/>
      <w:lvlJc w:val="left"/>
      <w:pPr>
        <w:ind w:left="1020" w:hanging="360"/>
      </w:pPr>
    </w:lvl>
  </w:abstractNum>
  <w:abstractNum w:abstractNumId="8" w15:restartNumberingAfterBreak="0">
    <w:nsid w:val="5CF560CC"/>
    <w:multiLevelType w:val="hybridMultilevel"/>
    <w:tmpl w:val="909E9918"/>
    <w:lvl w:ilvl="0" w:tplc="A1ACECE8">
      <w:start w:val="1"/>
      <w:numFmt w:val="decimal"/>
      <w:lvlText w:val="%1."/>
      <w:lvlJc w:val="left"/>
      <w:pPr>
        <w:ind w:left="1020" w:hanging="360"/>
      </w:pPr>
    </w:lvl>
    <w:lvl w:ilvl="1" w:tplc="2E5838A4">
      <w:start w:val="1"/>
      <w:numFmt w:val="decimal"/>
      <w:lvlText w:val="%2."/>
      <w:lvlJc w:val="left"/>
      <w:pPr>
        <w:ind w:left="1020" w:hanging="360"/>
      </w:pPr>
    </w:lvl>
    <w:lvl w:ilvl="2" w:tplc="39A4AD64">
      <w:start w:val="1"/>
      <w:numFmt w:val="decimal"/>
      <w:lvlText w:val="%3."/>
      <w:lvlJc w:val="left"/>
      <w:pPr>
        <w:ind w:left="1020" w:hanging="360"/>
      </w:pPr>
    </w:lvl>
    <w:lvl w:ilvl="3" w:tplc="5CB2B328">
      <w:start w:val="1"/>
      <w:numFmt w:val="decimal"/>
      <w:lvlText w:val="%4."/>
      <w:lvlJc w:val="left"/>
      <w:pPr>
        <w:ind w:left="1020" w:hanging="360"/>
      </w:pPr>
    </w:lvl>
    <w:lvl w:ilvl="4" w:tplc="A90A7008">
      <w:start w:val="1"/>
      <w:numFmt w:val="decimal"/>
      <w:lvlText w:val="%5."/>
      <w:lvlJc w:val="left"/>
      <w:pPr>
        <w:ind w:left="1020" w:hanging="360"/>
      </w:pPr>
    </w:lvl>
    <w:lvl w:ilvl="5" w:tplc="3DE04622">
      <w:start w:val="1"/>
      <w:numFmt w:val="decimal"/>
      <w:lvlText w:val="%6."/>
      <w:lvlJc w:val="left"/>
      <w:pPr>
        <w:ind w:left="1020" w:hanging="360"/>
      </w:pPr>
    </w:lvl>
    <w:lvl w:ilvl="6" w:tplc="10002662">
      <w:start w:val="1"/>
      <w:numFmt w:val="decimal"/>
      <w:lvlText w:val="%7."/>
      <w:lvlJc w:val="left"/>
      <w:pPr>
        <w:ind w:left="1020" w:hanging="360"/>
      </w:pPr>
    </w:lvl>
    <w:lvl w:ilvl="7" w:tplc="C466339E">
      <w:start w:val="1"/>
      <w:numFmt w:val="decimal"/>
      <w:lvlText w:val="%8."/>
      <w:lvlJc w:val="left"/>
      <w:pPr>
        <w:ind w:left="1020" w:hanging="360"/>
      </w:pPr>
    </w:lvl>
    <w:lvl w:ilvl="8" w:tplc="C26AE68A">
      <w:start w:val="1"/>
      <w:numFmt w:val="decimal"/>
      <w:lvlText w:val="%9."/>
      <w:lvlJc w:val="left"/>
      <w:pPr>
        <w:ind w:left="1020" w:hanging="360"/>
      </w:pPr>
    </w:lvl>
  </w:abstractNum>
  <w:abstractNum w:abstractNumId="9" w15:restartNumberingAfterBreak="0">
    <w:nsid w:val="5F341186"/>
    <w:multiLevelType w:val="multilevel"/>
    <w:tmpl w:val="D8526576"/>
    <w:lvl w:ilvl="0">
      <w:numFmt w:val="bullet"/>
      <w:lvlText w:val="-"/>
      <w:lvlJc w:val="left"/>
      <w:pPr>
        <w:ind w:left="720" w:hanging="360"/>
      </w:pPr>
      <w:rPr>
        <w:rFonts w:ascii="Gill Sans" w:eastAsia="Gill Sans" w:hAnsi="Gill Sans" w:cs="Gill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E16839"/>
    <w:multiLevelType w:val="hybridMultilevel"/>
    <w:tmpl w:val="5E8C9E28"/>
    <w:lvl w:ilvl="0" w:tplc="E6CA7536">
      <w:start w:val="1"/>
      <w:numFmt w:val="decimal"/>
      <w:lvlText w:val="%1."/>
      <w:lvlJc w:val="left"/>
      <w:pPr>
        <w:ind w:left="720" w:hanging="360"/>
      </w:pPr>
    </w:lvl>
    <w:lvl w:ilvl="1" w:tplc="33606122">
      <w:start w:val="1"/>
      <w:numFmt w:val="decimal"/>
      <w:lvlText w:val="%2."/>
      <w:lvlJc w:val="left"/>
      <w:pPr>
        <w:ind w:left="720" w:hanging="360"/>
      </w:pPr>
    </w:lvl>
    <w:lvl w:ilvl="2" w:tplc="E578BBD4">
      <w:start w:val="1"/>
      <w:numFmt w:val="decimal"/>
      <w:lvlText w:val="%3."/>
      <w:lvlJc w:val="left"/>
      <w:pPr>
        <w:ind w:left="720" w:hanging="360"/>
      </w:pPr>
    </w:lvl>
    <w:lvl w:ilvl="3" w:tplc="45623470">
      <w:start w:val="1"/>
      <w:numFmt w:val="decimal"/>
      <w:lvlText w:val="%4."/>
      <w:lvlJc w:val="left"/>
      <w:pPr>
        <w:ind w:left="720" w:hanging="360"/>
      </w:pPr>
    </w:lvl>
    <w:lvl w:ilvl="4" w:tplc="3AC4C958">
      <w:start w:val="1"/>
      <w:numFmt w:val="decimal"/>
      <w:lvlText w:val="%5."/>
      <w:lvlJc w:val="left"/>
      <w:pPr>
        <w:ind w:left="720" w:hanging="360"/>
      </w:pPr>
    </w:lvl>
    <w:lvl w:ilvl="5" w:tplc="C45A2588">
      <w:start w:val="1"/>
      <w:numFmt w:val="decimal"/>
      <w:lvlText w:val="%6."/>
      <w:lvlJc w:val="left"/>
      <w:pPr>
        <w:ind w:left="720" w:hanging="360"/>
      </w:pPr>
    </w:lvl>
    <w:lvl w:ilvl="6" w:tplc="574C9288">
      <w:start w:val="1"/>
      <w:numFmt w:val="decimal"/>
      <w:lvlText w:val="%7."/>
      <w:lvlJc w:val="left"/>
      <w:pPr>
        <w:ind w:left="720" w:hanging="360"/>
      </w:pPr>
    </w:lvl>
    <w:lvl w:ilvl="7" w:tplc="F516D9C6">
      <w:start w:val="1"/>
      <w:numFmt w:val="decimal"/>
      <w:lvlText w:val="%8."/>
      <w:lvlJc w:val="left"/>
      <w:pPr>
        <w:ind w:left="720" w:hanging="360"/>
      </w:pPr>
    </w:lvl>
    <w:lvl w:ilvl="8" w:tplc="01102B2A">
      <w:start w:val="1"/>
      <w:numFmt w:val="decimal"/>
      <w:lvlText w:val="%9."/>
      <w:lvlJc w:val="left"/>
      <w:pPr>
        <w:ind w:left="720" w:hanging="360"/>
      </w:pPr>
    </w:lvl>
  </w:abstractNum>
  <w:abstractNum w:abstractNumId="11" w15:restartNumberingAfterBreak="0">
    <w:nsid w:val="6B3C2EA0"/>
    <w:multiLevelType w:val="hybridMultilevel"/>
    <w:tmpl w:val="F73EA90E"/>
    <w:lvl w:ilvl="0" w:tplc="F5F2DA58">
      <w:start w:val="1"/>
      <w:numFmt w:val="decimal"/>
      <w:lvlText w:val="%1."/>
      <w:lvlJc w:val="left"/>
      <w:pPr>
        <w:ind w:left="720" w:hanging="360"/>
      </w:pPr>
    </w:lvl>
    <w:lvl w:ilvl="1" w:tplc="1F880842">
      <w:start w:val="1"/>
      <w:numFmt w:val="decimal"/>
      <w:lvlText w:val="%2."/>
      <w:lvlJc w:val="left"/>
      <w:pPr>
        <w:ind w:left="720" w:hanging="360"/>
      </w:pPr>
    </w:lvl>
    <w:lvl w:ilvl="2" w:tplc="0602B82E">
      <w:start w:val="1"/>
      <w:numFmt w:val="decimal"/>
      <w:lvlText w:val="%3."/>
      <w:lvlJc w:val="left"/>
      <w:pPr>
        <w:ind w:left="720" w:hanging="360"/>
      </w:pPr>
    </w:lvl>
    <w:lvl w:ilvl="3" w:tplc="379CC3EA">
      <w:start w:val="1"/>
      <w:numFmt w:val="decimal"/>
      <w:lvlText w:val="%4."/>
      <w:lvlJc w:val="left"/>
      <w:pPr>
        <w:ind w:left="720" w:hanging="360"/>
      </w:pPr>
    </w:lvl>
    <w:lvl w:ilvl="4" w:tplc="5E2AE940">
      <w:start w:val="1"/>
      <w:numFmt w:val="decimal"/>
      <w:lvlText w:val="%5."/>
      <w:lvlJc w:val="left"/>
      <w:pPr>
        <w:ind w:left="720" w:hanging="360"/>
      </w:pPr>
    </w:lvl>
    <w:lvl w:ilvl="5" w:tplc="BAD864E8">
      <w:start w:val="1"/>
      <w:numFmt w:val="decimal"/>
      <w:lvlText w:val="%6."/>
      <w:lvlJc w:val="left"/>
      <w:pPr>
        <w:ind w:left="720" w:hanging="360"/>
      </w:pPr>
    </w:lvl>
    <w:lvl w:ilvl="6" w:tplc="841A6AAA">
      <w:start w:val="1"/>
      <w:numFmt w:val="decimal"/>
      <w:lvlText w:val="%7."/>
      <w:lvlJc w:val="left"/>
      <w:pPr>
        <w:ind w:left="720" w:hanging="360"/>
      </w:pPr>
    </w:lvl>
    <w:lvl w:ilvl="7" w:tplc="6AF4AC18">
      <w:start w:val="1"/>
      <w:numFmt w:val="decimal"/>
      <w:lvlText w:val="%8."/>
      <w:lvlJc w:val="left"/>
      <w:pPr>
        <w:ind w:left="720" w:hanging="360"/>
      </w:pPr>
    </w:lvl>
    <w:lvl w:ilvl="8" w:tplc="7EEA56A4">
      <w:start w:val="1"/>
      <w:numFmt w:val="decimal"/>
      <w:lvlText w:val="%9."/>
      <w:lvlJc w:val="left"/>
      <w:pPr>
        <w:ind w:left="720" w:hanging="360"/>
      </w:pPr>
    </w:lvl>
  </w:abstractNum>
  <w:num w:numId="1" w16cid:durableId="289360915">
    <w:abstractNumId w:val="9"/>
  </w:num>
  <w:num w:numId="2" w16cid:durableId="1713841452">
    <w:abstractNumId w:val="4"/>
  </w:num>
  <w:num w:numId="3" w16cid:durableId="2068020091">
    <w:abstractNumId w:val="8"/>
  </w:num>
  <w:num w:numId="4" w16cid:durableId="480738028">
    <w:abstractNumId w:val="11"/>
  </w:num>
  <w:num w:numId="5" w16cid:durableId="1832478028">
    <w:abstractNumId w:val="1"/>
  </w:num>
  <w:num w:numId="6" w16cid:durableId="561722883">
    <w:abstractNumId w:val="10"/>
  </w:num>
  <w:num w:numId="7" w16cid:durableId="2076587888">
    <w:abstractNumId w:val="3"/>
  </w:num>
  <w:num w:numId="8" w16cid:durableId="1403989757">
    <w:abstractNumId w:val="7"/>
  </w:num>
  <w:num w:numId="9" w16cid:durableId="850073161">
    <w:abstractNumId w:val="5"/>
  </w:num>
  <w:num w:numId="10" w16cid:durableId="1285429898">
    <w:abstractNumId w:val="0"/>
  </w:num>
  <w:num w:numId="11" w16cid:durableId="1920942685">
    <w:abstractNumId w:val="2"/>
  </w:num>
  <w:num w:numId="12" w16cid:durableId="1111825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95"/>
    <w:rsid w:val="00007ADD"/>
    <w:rsid w:val="00007C37"/>
    <w:rsid w:val="000108DA"/>
    <w:rsid w:val="000125A0"/>
    <w:rsid w:val="00012935"/>
    <w:rsid w:val="0001313F"/>
    <w:rsid w:val="000147E7"/>
    <w:rsid w:val="0001547F"/>
    <w:rsid w:val="0002015F"/>
    <w:rsid w:val="000245B9"/>
    <w:rsid w:val="00027CF3"/>
    <w:rsid w:val="000309E6"/>
    <w:rsid w:val="00031513"/>
    <w:rsid w:val="00031FD3"/>
    <w:rsid w:val="000332CD"/>
    <w:rsid w:val="0003345B"/>
    <w:rsid w:val="00036F14"/>
    <w:rsid w:val="0004705B"/>
    <w:rsid w:val="00047479"/>
    <w:rsid w:val="00047CDE"/>
    <w:rsid w:val="00051014"/>
    <w:rsid w:val="00054946"/>
    <w:rsid w:val="000553E7"/>
    <w:rsid w:val="00055531"/>
    <w:rsid w:val="000564D0"/>
    <w:rsid w:val="0006277D"/>
    <w:rsid w:val="000634DC"/>
    <w:rsid w:val="00064E05"/>
    <w:rsid w:val="00065C82"/>
    <w:rsid w:val="00066549"/>
    <w:rsid w:val="00066C9D"/>
    <w:rsid w:val="00071039"/>
    <w:rsid w:val="000713A1"/>
    <w:rsid w:val="00074645"/>
    <w:rsid w:val="00074FA7"/>
    <w:rsid w:val="000751B8"/>
    <w:rsid w:val="000771E3"/>
    <w:rsid w:val="00081428"/>
    <w:rsid w:val="00082290"/>
    <w:rsid w:val="0009097E"/>
    <w:rsid w:val="00093076"/>
    <w:rsid w:val="000A08FC"/>
    <w:rsid w:val="000A1EFE"/>
    <w:rsid w:val="000A47CE"/>
    <w:rsid w:val="000A54F4"/>
    <w:rsid w:val="000A5F0B"/>
    <w:rsid w:val="000B2385"/>
    <w:rsid w:val="000B46FD"/>
    <w:rsid w:val="000B7733"/>
    <w:rsid w:val="000C16C3"/>
    <w:rsid w:val="000C30E8"/>
    <w:rsid w:val="000C4E47"/>
    <w:rsid w:val="000C7856"/>
    <w:rsid w:val="000D03F1"/>
    <w:rsid w:val="000D25CA"/>
    <w:rsid w:val="000D4BE4"/>
    <w:rsid w:val="000D5B41"/>
    <w:rsid w:val="000D6A97"/>
    <w:rsid w:val="000D6D2C"/>
    <w:rsid w:val="000D79AF"/>
    <w:rsid w:val="000E188A"/>
    <w:rsid w:val="000E241D"/>
    <w:rsid w:val="000E4ACF"/>
    <w:rsid w:val="000E4F44"/>
    <w:rsid w:val="000F0AF4"/>
    <w:rsid w:val="000F14A1"/>
    <w:rsid w:val="000F24B5"/>
    <w:rsid w:val="000F2D12"/>
    <w:rsid w:val="000F4A9A"/>
    <w:rsid w:val="000F4EFD"/>
    <w:rsid w:val="000F5A4E"/>
    <w:rsid w:val="00101C3B"/>
    <w:rsid w:val="00104D10"/>
    <w:rsid w:val="00106BFB"/>
    <w:rsid w:val="00110B48"/>
    <w:rsid w:val="00111E38"/>
    <w:rsid w:val="00114F3F"/>
    <w:rsid w:val="00120902"/>
    <w:rsid w:val="00121E67"/>
    <w:rsid w:val="00126C01"/>
    <w:rsid w:val="00127500"/>
    <w:rsid w:val="001353B2"/>
    <w:rsid w:val="00135DAC"/>
    <w:rsid w:val="001442F1"/>
    <w:rsid w:val="00147B81"/>
    <w:rsid w:val="00152D77"/>
    <w:rsid w:val="00155BE9"/>
    <w:rsid w:val="00161467"/>
    <w:rsid w:val="00170474"/>
    <w:rsid w:val="00170A88"/>
    <w:rsid w:val="00171CFF"/>
    <w:rsid w:val="001723F6"/>
    <w:rsid w:val="00172AE1"/>
    <w:rsid w:val="0017412E"/>
    <w:rsid w:val="00174B58"/>
    <w:rsid w:val="00174E7A"/>
    <w:rsid w:val="00175CC8"/>
    <w:rsid w:val="00177238"/>
    <w:rsid w:val="00180217"/>
    <w:rsid w:val="0018556A"/>
    <w:rsid w:val="00185C46"/>
    <w:rsid w:val="00186754"/>
    <w:rsid w:val="0018724B"/>
    <w:rsid w:val="00187E6C"/>
    <w:rsid w:val="00195E9D"/>
    <w:rsid w:val="001A1574"/>
    <w:rsid w:val="001A3EB5"/>
    <w:rsid w:val="001A7BBA"/>
    <w:rsid w:val="001B4FF1"/>
    <w:rsid w:val="001B7725"/>
    <w:rsid w:val="001B7A4A"/>
    <w:rsid w:val="001C0795"/>
    <w:rsid w:val="001C09F5"/>
    <w:rsid w:val="001C30DD"/>
    <w:rsid w:val="001C4114"/>
    <w:rsid w:val="001C7A95"/>
    <w:rsid w:val="001D2209"/>
    <w:rsid w:val="001D3FF0"/>
    <w:rsid w:val="001D6E40"/>
    <w:rsid w:val="001E031D"/>
    <w:rsid w:val="001E0EA1"/>
    <w:rsid w:val="001E4109"/>
    <w:rsid w:val="001E7F66"/>
    <w:rsid w:val="001F0FA8"/>
    <w:rsid w:val="001F1A3D"/>
    <w:rsid w:val="001F6AD1"/>
    <w:rsid w:val="001F77D3"/>
    <w:rsid w:val="001F79C1"/>
    <w:rsid w:val="00200A52"/>
    <w:rsid w:val="00201A8F"/>
    <w:rsid w:val="00201EF8"/>
    <w:rsid w:val="00204763"/>
    <w:rsid w:val="00206F84"/>
    <w:rsid w:val="00207D5C"/>
    <w:rsid w:val="00212EC8"/>
    <w:rsid w:val="00213FFA"/>
    <w:rsid w:val="00215971"/>
    <w:rsid w:val="00217A03"/>
    <w:rsid w:val="00221B82"/>
    <w:rsid w:val="00221FA8"/>
    <w:rsid w:val="00222C65"/>
    <w:rsid w:val="002311A1"/>
    <w:rsid w:val="00232DBF"/>
    <w:rsid w:val="00234575"/>
    <w:rsid w:val="00234E4B"/>
    <w:rsid w:val="00235BFD"/>
    <w:rsid w:val="00245683"/>
    <w:rsid w:val="00245E42"/>
    <w:rsid w:val="002475D5"/>
    <w:rsid w:val="00251D4E"/>
    <w:rsid w:val="00252CA7"/>
    <w:rsid w:val="00254215"/>
    <w:rsid w:val="00255C66"/>
    <w:rsid w:val="00256AD8"/>
    <w:rsid w:val="00261337"/>
    <w:rsid w:val="002632E3"/>
    <w:rsid w:val="00265109"/>
    <w:rsid w:val="00266173"/>
    <w:rsid w:val="00271703"/>
    <w:rsid w:val="00272B8C"/>
    <w:rsid w:val="00273A7A"/>
    <w:rsid w:val="00273F7C"/>
    <w:rsid w:val="002741AB"/>
    <w:rsid w:val="00277F47"/>
    <w:rsid w:val="00280FE0"/>
    <w:rsid w:val="00281853"/>
    <w:rsid w:val="00282E89"/>
    <w:rsid w:val="00293733"/>
    <w:rsid w:val="00293B0C"/>
    <w:rsid w:val="002947CE"/>
    <w:rsid w:val="002948BF"/>
    <w:rsid w:val="002955C7"/>
    <w:rsid w:val="00297462"/>
    <w:rsid w:val="002A1A5B"/>
    <w:rsid w:val="002A315E"/>
    <w:rsid w:val="002A3691"/>
    <w:rsid w:val="002A3EA7"/>
    <w:rsid w:val="002A3F74"/>
    <w:rsid w:val="002A5121"/>
    <w:rsid w:val="002B0101"/>
    <w:rsid w:val="002B24A1"/>
    <w:rsid w:val="002B4DD9"/>
    <w:rsid w:val="002B6B66"/>
    <w:rsid w:val="002C3A78"/>
    <w:rsid w:val="002C3AB8"/>
    <w:rsid w:val="002C55D6"/>
    <w:rsid w:val="002C626F"/>
    <w:rsid w:val="002C7449"/>
    <w:rsid w:val="002D0CAC"/>
    <w:rsid w:val="002D3364"/>
    <w:rsid w:val="002D3F5E"/>
    <w:rsid w:val="002D400E"/>
    <w:rsid w:val="002D4058"/>
    <w:rsid w:val="002D4F14"/>
    <w:rsid w:val="002D54D1"/>
    <w:rsid w:val="002D70AC"/>
    <w:rsid w:val="002E6A58"/>
    <w:rsid w:val="002E7221"/>
    <w:rsid w:val="002E761C"/>
    <w:rsid w:val="002E7D04"/>
    <w:rsid w:val="002F747D"/>
    <w:rsid w:val="003032B8"/>
    <w:rsid w:val="003041D4"/>
    <w:rsid w:val="00306135"/>
    <w:rsid w:val="00311238"/>
    <w:rsid w:val="00311D43"/>
    <w:rsid w:val="0031343B"/>
    <w:rsid w:val="00315433"/>
    <w:rsid w:val="0032001C"/>
    <w:rsid w:val="003229C9"/>
    <w:rsid w:val="003229D9"/>
    <w:rsid w:val="00325174"/>
    <w:rsid w:val="0032598B"/>
    <w:rsid w:val="0032661D"/>
    <w:rsid w:val="003301BD"/>
    <w:rsid w:val="0033167A"/>
    <w:rsid w:val="00333A81"/>
    <w:rsid w:val="00334C45"/>
    <w:rsid w:val="003358C0"/>
    <w:rsid w:val="00337F71"/>
    <w:rsid w:val="003400EB"/>
    <w:rsid w:val="003425D2"/>
    <w:rsid w:val="00343116"/>
    <w:rsid w:val="00343309"/>
    <w:rsid w:val="003444B7"/>
    <w:rsid w:val="00347EFF"/>
    <w:rsid w:val="003501E2"/>
    <w:rsid w:val="003520E8"/>
    <w:rsid w:val="00352FA5"/>
    <w:rsid w:val="00353D9A"/>
    <w:rsid w:val="00353E05"/>
    <w:rsid w:val="003713F0"/>
    <w:rsid w:val="00372593"/>
    <w:rsid w:val="003730DA"/>
    <w:rsid w:val="003800BE"/>
    <w:rsid w:val="00380132"/>
    <w:rsid w:val="00383417"/>
    <w:rsid w:val="00383891"/>
    <w:rsid w:val="00393AE2"/>
    <w:rsid w:val="0039417A"/>
    <w:rsid w:val="003A0077"/>
    <w:rsid w:val="003A06E3"/>
    <w:rsid w:val="003A304B"/>
    <w:rsid w:val="003A3500"/>
    <w:rsid w:val="003A743F"/>
    <w:rsid w:val="003A7A96"/>
    <w:rsid w:val="003B03C6"/>
    <w:rsid w:val="003B061A"/>
    <w:rsid w:val="003B155C"/>
    <w:rsid w:val="003B3A5C"/>
    <w:rsid w:val="003B3DFA"/>
    <w:rsid w:val="003B4251"/>
    <w:rsid w:val="003B5262"/>
    <w:rsid w:val="003B60F8"/>
    <w:rsid w:val="003B67F3"/>
    <w:rsid w:val="003B6F8E"/>
    <w:rsid w:val="003C2F5E"/>
    <w:rsid w:val="003C569D"/>
    <w:rsid w:val="003C6EDA"/>
    <w:rsid w:val="003C7698"/>
    <w:rsid w:val="003D5310"/>
    <w:rsid w:val="003D64E8"/>
    <w:rsid w:val="003D6E44"/>
    <w:rsid w:val="003D7C1A"/>
    <w:rsid w:val="003E030B"/>
    <w:rsid w:val="003E09B5"/>
    <w:rsid w:val="003E2F02"/>
    <w:rsid w:val="003E4BE0"/>
    <w:rsid w:val="003E763A"/>
    <w:rsid w:val="003F03CA"/>
    <w:rsid w:val="003F3156"/>
    <w:rsid w:val="003F3867"/>
    <w:rsid w:val="003F651C"/>
    <w:rsid w:val="003F6AFF"/>
    <w:rsid w:val="00400921"/>
    <w:rsid w:val="00401A89"/>
    <w:rsid w:val="00402B03"/>
    <w:rsid w:val="0040486F"/>
    <w:rsid w:val="00405FD9"/>
    <w:rsid w:val="0041022D"/>
    <w:rsid w:val="00411225"/>
    <w:rsid w:val="00412FAA"/>
    <w:rsid w:val="004150C7"/>
    <w:rsid w:val="00416A85"/>
    <w:rsid w:val="00422D33"/>
    <w:rsid w:val="004233AC"/>
    <w:rsid w:val="00423E68"/>
    <w:rsid w:val="00432481"/>
    <w:rsid w:val="004369C6"/>
    <w:rsid w:val="00441D48"/>
    <w:rsid w:val="00441DAA"/>
    <w:rsid w:val="00444E0B"/>
    <w:rsid w:val="00445519"/>
    <w:rsid w:val="00445A78"/>
    <w:rsid w:val="004462A4"/>
    <w:rsid w:val="004463E8"/>
    <w:rsid w:val="00446F02"/>
    <w:rsid w:val="00451721"/>
    <w:rsid w:val="004534A3"/>
    <w:rsid w:val="0045760F"/>
    <w:rsid w:val="00457C5D"/>
    <w:rsid w:val="00461318"/>
    <w:rsid w:val="00462B27"/>
    <w:rsid w:val="00463752"/>
    <w:rsid w:val="00464861"/>
    <w:rsid w:val="00464940"/>
    <w:rsid w:val="0046659D"/>
    <w:rsid w:val="004679E7"/>
    <w:rsid w:val="00472944"/>
    <w:rsid w:val="00481480"/>
    <w:rsid w:val="00481AB4"/>
    <w:rsid w:val="004823E6"/>
    <w:rsid w:val="004825FC"/>
    <w:rsid w:val="00484CB2"/>
    <w:rsid w:val="0048502E"/>
    <w:rsid w:val="00486694"/>
    <w:rsid w:val="00491AF7"/>
    <w:rsid w:val="00492F68"/>
    <w:rsid w:val="00493FB7"/>
    <w:rsid w:val="00494FC8"/>
    <w:rsid w:val="0049701F"/>
    <w:rsid w:val="004A49FD"/>
    <w:rsid w:val="004A5ABD"/>
    <w:rsid w:val="004B0545"/>
    <w:rsid w:val="004B1AAC"/>
    <w:rsid w:val="004B336B"/>
    <w:rsid w:val="004B4A58"/>
    <w:rsid w:val="004B4A97"/>
    <w:rsid w:val="004C2F45"/>
    <w:rsid w:val="004C5B79"/>
    <w:rsid w:val="004C624F"/>
    <w:rsid w:val="004C7B3A"/>
    <w:rsid w:val="004D1758"/>
    <w:rsid w:val="004D2DB9"/>
    <w:rsid w:val="004D3B98"/>
    <w:rsid w:val="004D753C"/>
    <w:rsid w:val="004D7A2D"/>
    <w:rsid w:val="004E1C74"/>
    <w:rsid w:val="004E2430"/>
    <w:rsid w:val="004E5ED5"/>
    <w:rsid w:val="004F33B2"/>
    <w:rsid w:val="004F703D"/>
    <w:rsid w:val="00507758"/>
    <w:rsid w:val="005078EA"/>
    <w:rsid w:val="005139D2"/>
    <w:rsid w:val="00514208"/>
    <w:rsid w:val="005239E8"/>
    <w:rsid w:val="0052519E"/>
    <w:rsid w:val="005253C0"/>
    <w:rsid w:val="005260C3"/>
    <w:rsid w:val="00526524"/>
    <w:rsid w:val="0053003D"/>
    <w:rsid w:val="00533AF9"/>
    <w:rsid w:val="0053542D"/>
    <w:rsid w:val="0053726F"/>
    <w:rsid w:val="0054254D"/>
    <w:rsid w:val="00543031"/>
    <w:rsid w:val="00545E63"/>
    <w:rsid w:val="00545FD6"/>
    <w:rsid w:val="00547083"/>
    <w:rsid w:val="00552593"/>
    <w:rsid w:val="0055590C"/>
    <w:rsid w:val="005657FE"/>
    <w:rsid w:val="00565E02"/>
    <w:rsid w:val="005661CB"/>
    <w:rsid w:val="00570D79"/>
    <w:rsid w:val="00571072"/>
    <w:rsid w:val="005715C9"/>
    <w:rsid w:val="005725B9"/>
    <w:rsid w:val="005731D0"/>
    <w:rsid w:val="00581223"/>
    <w:rsid w:val="005816F4"/>
    <w:rsid w:val="00584FA3"/>
    <w:rsid w:val="0058798F"/>
    <w:rsid w:val="005902D7"/>
    <w:rsid w:val="005909EC"/>
    <w:rsid w:val="00591CB2"/>
    <w:rsid w:val="005945C8"/>
    <w:rsid w:val="0059501C"/>
    <w:rsid w:val="005A0D7E"/>
    <w:rsid w:val="005A12AD"/>
    <w:rsid w:val="005A44D4"/>
    <w:rsid w:val="005A59C2"/>
    <w:rsid w:val="005B280F"/>
    <w:rsid w:val="005B5C24"/>
    <w:rsid w:val="005C2A89"/>
    <w:rsid w:val="005C37AA"/>
    <w:rsid w:val="005C503B"/>
    <w:rsid w:val="005C6FD8"/>
    <w:rsid w:val="005D25F1"/>
    <w:rsid w:val="005D586A"/>
    <w:rsid w:val="005D5A48"/>
    <w:rsid w:val="005D5C98"/>
    <w:rsid w:val="005D74CC"/>
    <w:rsid w:val="005E315F"/>
    <w:rsid w:val="005F15F6"/>
    <w:rsid w:val="005F45C0"/>
    <w:rsid w:val="005F46A9"/>
    <w:rsid w:val="005F5606"/>
    <w:rsid w:val="00601FC2"/>
    <w:rsid w:val="00603541"/>
    <w:rsid w:val="00606B81"/>
    <w:rsid w:val="00607DEA"/>
    <w:rsid w:val="0061025F"/>
    <w:rsid w:val="006102E5"/>
    <w:rsid w:val="006115FF"/>
    <w:rsid w:val="00611CDE"/>
    <w:rsid w:val="0061267F"/>
    <w:rsid w:val="00620144"/>
    <w:rsid w:val="00622E12"/>
    <w:rsid w:val="006234A2"/>
    <w:rsid w:val="0062495D"/>
    <w:rsid w:val="0062592D"/>
    <w:rsid w:val="00626006"/>
    <w:rsid w:val="006264DB"/>
    <w:rsid w:val="006334A3"/>
    <w:rsid w:val="00634CB3"/>
    <w:rsid w:val="006359A5"/>
    <w:rsid w:val="00635CAD"/>
    <w:rsid w:val="006405EB"/>
    <w:rsid w:val="00642897"/>
    <w:rsid w:val="00645989"/>
    <w:rsid w:val="006463CC"/>
    <w:rsid w:val="00647B13"/>
    <w:rsid w:val="00651081"/>
    <w:rsid w:val="0065306E"/>
    <w:rsid w:val="006545C5"/>
    <w:rsid w:val="0065612B"/>
    <w:rsid w:val="00657557"/>
    <w:rsid w:val="006636D6"/>
    <w:rsid w:val="00663E98"/>
    <w:rsid w:val="00663ED9"/>
    <w:rsid w:val="00667A04"/>
    <w:rsid w:val="0067076D"/>
    <w:rsid w:val="0067134C"/>
    <w:rsid w:val="0067423E"/>
    <w:rsid w:val="006758CE"/>
    <w:rsid w:val="00675D0E"/>
    <w:rsid w:val="0067785F"/>
    <w:rsid w:val="00677F91"/>
    <w:rsid w:val="0068520B"/>
    <w:rsid w:val="006937E1"/>
    <w:rsid w:val="006948D3"/>
    <w:rsid w:val="006A33E0"/>
    <w:rsid w:val="006A450F"/>
    <w:rsid w:val="006A5716"/>
    <w:rsid w:val="006A61E3"/>
    <w:rsid w:val="006A64CD"/>
    <w:rsid w:val="006B15CD"/>
    <w:rsid w:val="006B335F"/>
    <w:rsid w:val="006B4A73"/>
    <w:rsid w:val="006B539D"/>
    <w:rsid w:val="006C0FC6"/>
    <w:rsid w:val="006C18E8"/>
    <w:rsid w:val="006C3222"/>
    <w:rsid w:val="006C6F84"/>
    <w:rsid w:val="006C7176"/>
    <w:rsid w:val="006D33DC"/>
    <w:rsid w:val="006E638F"/>
    <w:rsid w:val="006F099F"/>
    <w:rsid w:val="006F638E"/>
    <w:rsid w:val="006F66E5"/>
    <w:rsid w:val="006F6E13"/>
    <w:rsid w:val="00700D59"/>
    <w:rsid w:val="00700FC9"/>
    <w:rsid w:val="007012C4"/>
    <w:rsid w:val="0070320E"/>
    <w:rsid w:val="00704CC8"/>
    <w:rsid w:val="00705389"/>
    <w:rsid w:val="00705AA6"/>
    <w:rsid w:val="00710FED"/>
    <w:rsid w:val="007120BC"/>
    <w:rsid w:val="0071293D"/>
    <w:rsid w:val="00712B06"/>
    <w:rsid w:val="0071368C"/>
    <w:rsid w:val="00713874"/>
    <w:rsid w:val="00715392"/>
    <w:rsid w:val="00715858"/>
    <w:rsid w:val="00717435"/>
    <w:rsid w:val="00721C29"/>
    <w:rsid w:val="00722E99"/>
    <w:rsid w:val="0072318D"/>
    <w:rsid w:val="007254C3"/>
    <w:rsid w:val="007320F8"/>
    <w:rsid w:val="0073387A"/>
    <w:rsid w:val="00734E7E"/>
    <w:rsid w:val="0073532E"/>
    <w:rsid w:val="00741083"/>
    <w:rsid w:val="0074204B"/>
    <w:rsid w:val="00742B4A"/>
    <w:rsid w:val="00742F0E"/>
    <w:rsid w:val="00744B2F"/>
    <w:rsid w:val="007465D5"/>
    <w:rsid w:val="0075001B"/>
    <w:rsid w:val="00750EC6"/>
    <w:rsid w:val="00752F1C"/>
    <w:rsid w:val="00753F45"/>
    <w:rsid w:val="00754490"/>
    <w:rsid w:val="007558C9"/>
    <w:rsid w:val="00760211"/>
    <w:rsid w:val="0076142B"/>
    <w:rsid w:val="00761E89"/>
    <w:rsid w:val="007700D7"/>
    <w:rsid w:val="00771E66"/>
    <w:rsid w:val="00772283"/>
    <w:rsid w:val="00775F39"/>
    <w:rsid w:val="0077649C"/>
    <w:rsid w:val="007812D2"/>
    <w:rsid w:val="00781672"/>
    <w:rsid w:val="00782271"/>
    <w:rsid w:val="00783F16"/>
    <w:rsid w:val="0078483C"/>
    <w:rsid w:val="00787986"/>
    <w:rsid w:val="00793A6A"/>
    <w:rsid w:val="007948A5"/>
    <w:rsid w:val="00795069"/>
    <w:rsid w:val="0079727A"/>
    <w:rsid w:val="007A331E"/>
    <w:rsid w:val="007A7F3A"/>
    <w:rsid w:val="007B0537"/>
    <w:rsid w:val="007B1119"/>
    <w:rsid w:val="007B134D"/>
    <w:rsid w:val="007B1D17"/>
    <w:rsid w:val="007B25C4"/>
    <w:rsid w:val="007B4BB6"/>
    <w:rsid w:val="007C05E9"/>
    <w:rsid w:val="007C1C0D"/>
    <w:rsid w:val="007C2BE2"/>
    <w:rsid w:val="007C2F56"/>
    <w:rsid w:val="007C584D"/>
    <w:rsid w:val="007C6018"/>
    <w:rsid w:val="007C6663"/>
    <w:rsid w:val="007C738F"/>
    <w:rsid w:val="007C7C49"/>
    <w:rsid w:val="007D0F7C"/>
    <w:rsid w:val="007D154A"/>
    <w:rsid w:val="007D2C05"/>
    <w:rsid w:val="007D3B45"/>
    <w:rsid w:val="007D3CD3"/>
    <w:rsid w:val="007D4F41"/>
    <w:rsid w:val="007D5F0D"/>
    <w:rsid w:val="007D7F1D"/>
    <w:rsid w:val="007E05FD"/>
    <w:rsid w:val="007E0E76"/>
    <w:rsid w:val="007E1B2E"/>
    <w:rsid w:val="007E2485"/>
    <w:rsid w:val="007E7C42"/>
    <w:rsid w:val="007F0CF7"/>
    <w:rsid w:val="007F5033"/>
    <w:rsid w:val="007F638F"/>
    <w:rsid w:val="007F7523"/>
    <w:rsid w:val="007F7BE8"/>
    <w:rsid w:val="00800CF5"/>
    <w:rsid w:val="00802572"/>
    <w:rsid w:val="008027ED"/>
    <w:rsid w:val="008046FC"/>
    <w:rsid w:val="00804EA3"/>
    <w:rsid w:val="0081236D"/>
    <w:rsid w:val="008135D9"/>
    <w:rsid w:val="008147EF"/>
    <w:rsid w:val="00815941"/>
    <w:rsid w:val="008259B7"/>
    <w:rsid w:val="00827FA6"/>
    <w:rsid w:val="00836D6B"/>
    <w:rsid w:val="008477A1"/>
    <w:rsid w:val="00847E87"/>
    <w:rsid w:val="00850DC6"/>
    <w:rsid w:val="00851D1B"/>
    <w:rsid w:val="00853DFE"/>
    <w:rsid w:val="008549F2"/>
    <w:rsid w:val="0085598D"/>
    <w:rsid w:val="008574D2"/>
    <w:rsid w:val="00857CCD"/>
    <w:rsid w:val="008615C1"/>
    <w:rsid w:val="00863204"/>
    <w:rsid w:val="00871910"/>
    <w:rsid w:val="00884D34"/>
    <w:rsid w:val="00885160"/>
    <w:rsid w:val="00885E79"/>
    <w:rsid w:val="0089257F"/>
    <w:rsid w:val="008950CF"/>
    <w:rsid w:val="008976D8"/>
    <w:rsid w:val="00897C5E"/>
    <w:rsid w:val="008A1A73"/>
    <w:rsid w:val="008A52EE"/>
    <w:rsid w:val="008A5DE2"/>
    <w:rsid w:val="008A6367"/>
    <w:rsid w:val="008A6B8B"/>
    <w:rsid w:val="008B16FF"/>
    <w:rsid w:val="008B6292"/>
    <w:rsid w:val="008B75F1"/>
    <w:rsid w:val="008C3134"/>
    <w:rsid w:val="008D2A74"/>
    <w:rsid w:val="008D3A0C"/>
    <w:rsid w:val="008D4DA6"/>
    <w:rsid w:val="008D51DE"/>
    <w:rsid w:val="008D7198"/>
    <w:rsid w:val="008E1651"/>
    <w:rsid w:val="008E321F"/>
    <w:rsid w:val="008E4859"/>
    <w:rsid w:val="008E65DC"/>
    <w:rsid w:val="008F2398"/>
    <w:rsid w:val="008F3E90"/>
    <w:rsid w:val="008F5C49"/>
    <w:rsid w:val="008F6678"/>
    <w:rsid w:val="008F7EC6"/>
    <w:rsid w:val="009039F9"/>
    <w:rsid w:val="00905199"/>
    <w:rsid w:val="009061F0"/>
    <w:rsid w:val="00913007"/>
    <w:rsid w:val="009156B4"/>
    <w:rsid w:val="009219BF"/>
    <w:rsid w:val="00922570"/>
    <w:rsid w:val="00922587"/>
    <w:rsid w:val="00924F2B"/>
    <w:rsid w:val="0093004A"/>
    <w:rsid w:val="0093136F"/>
    <w:rsid w:val="00931613"/>
    <w:rsid w:val="00937B9A"/>
    <w:rsid w:val="00941170"/>
    <w:rsid w:val="00942CE5"/>
    <w:rsid w:val="00945BCD"/>
    <w:rsid w:val="00950632"/>
    <w:rsid w:val="0095422E"/>
    <w:rsid w:val="00954E1A"/>
    <w:rsid w:val="009559C1"/>
    <w:rsid w:val="00957E2B"/>
    <w:rsid w:val="009607AD"/>
    <w:rsid w:val="0096137F"/>
    <w:rsid w:val="00961A86"/>
    <w:rsid w:val="00962087"/>
    <w:rsid w:val="009645EF"/>
    <w:rsid w:val="00972FE3"/>
    <w:rsid w:val="00973EEA"/>
    <w:rsid w:val="00975019"/>
    <w:rsid w:val="00976D2D"/>
    <w:rsid w:val="009808DF"/>
    <w:rsid w:val="009832AD"/>
    <w:rsid w:val="009832F9"/>
    <w:rsid w:val="00983742"/>
    <w:rsid w:val="00991007"/>
    <w:rsid w:val="00991FDE"/>
    <w:rsid w:val="00996FA6"/>
    <w:rsid w:val="009A0086"/>
    <w:rsid w:val="009A0C82"/>
    <w:rsid w:val="009A1F1B"/>
    <w:rsid w:val="009A22DF"/>
    <w:rsid w:val="009A39DA"/>
    <w:rsid w:val="009A4B94"/>
    <w:rsid w:val="009B2050"/>
    <w:rsid w:val="009C0974"/>
    <w:rsid w:val="009C3802"/>
    <w:rsid w:val="009C4482"/>
    <w:rsid w:val="009C59C5"/>
    <w:rsid w:val="009C5ABD"/>
    <w:rsid w:val="009C753E"/>
    <w:rsid w:val="009D193D"/>
    <w:rsid w:val="009D28EF"/>
    <w:rsid w:val="009D333F"/>
    <w:rsid w:val="009D4431"/>
    <w:rsid w:val="009E01DA"/>
    <w:rsid w:val="009E28A3"/>
    <w:rsid w:val="009E2D3E"/>
    <w:rsid w:val="009E3B37"/>
    <w:rsid w:val="009E3C78"/>
    <w:rsid w:val="009F1EEB"/>
    <w:rsid w:val="009F27CB"/>
    <w:rsid w:val="009F37DB"/>
    <w:rsid w:val="009F42AC"/>
    <w:rsid w:val="009F60E8"/>
    <w:rsid w:val="009F696F"/>
    <w:rsid w:val="00A00AA0"/>
    <w:rsid w:val="00A01E90"/>
    <w:rsid w:val="00A023C8"/>
    <w:rsid w:val="00A02BAF"/>
    <w:rsid w:val="00A069BF"/>
    <w:rsid w:val="00A10AFA"/>
    <w:rsid w:val="00A1139E"/>
    <w:rsid w:val="00A1170C"/>
    <w:rsid w:val="00A13544"/>
    <w:rsid w:val="00A14045"/>
    <w:rsid w:val="00A17DDB"/>
    <w:rsid w:val="00A201B9"/>
    <w:rsid w:val="00A20ED2"/>
    <w:rsid w:val="00A21B05"/>
    <w:rsid w:val="00A23032"/>
    <w:rsid w:val="00A25AE2"/>
    <w:rsid w:val="00A26615"/>
    <w:rsid w:val="00A27A0B"/>
    <w:rsid w:val="00A3385D"/>
    <w:rsid w:val="00A36950"/>
    <w:rsid w:val="00A36C48"/>
    <w:rsid w:val="00A4061A"/>
    <w:rsid w:val="00A40DBC"/>
    <w:rsid w:val="00A41102"/>
    <w:rsid w:val="00A43556"/>
    <w:rsid w:val="00A455A9"/>
    <w:rsid w:val="00A47066"/>
    <w:rsid w:val="00A50A81"/>
    <w:rsid w:val="00A52096"/>
    <w:rsid w:val="00A55BF4"/>
    <w:rsid w:val="00A5628C"/>
    <w:rsid w:val="00A603DA"/>
    <w:rsid w:val="00A61B58"/>
    <w:rsid w:val="00A66758"/>
    <w:rsid w:val="00A67A1A"/>
    <w:rsid w:val="00A717F0"/>
    <w:rsid w:val="00A75BB9"/>
    <w:rsid w:val="00A81ACC"/>
    <w:rsid w:val="00A834AA"/>
    <w:rsid w:val="00A836B8"/>
    <w:rsid w:val="00A84078"/>
    <w:rsid w:val="00A8416B"/>
    <w:rsid w:val="00A855AB"/>
    <w:rsid w:val="00A91325"/>
    <w:rsid w:val="00A91F8F"/>
    <w:rsid w:val="00A924A7"/>
    <w:rsid w:val="00A97258"/>
    <w:rsid w:val="00AA0B61"/>
    <w:rsid w:val="00AA285C"/>
    <w:rsid w:val="00AA2B42"/>
    <w:rsid w:val="00AB009D"/>
    <w:rsid w:val="00AB0BFF"/>
    <w:rsid w:val="00AB1CC8"/>
    <w:rsid w:val="00AB36AC"/>
    <w:rsid w:val="00AB4F8D"/>
    <w:rsid w:val="00AC0B60"/>
    <w:rsid w:val="00AC6118"/>
    <w:rsid w:val="00AD1226"/>
    <w:rsid w:val="00AD292E"/>
    <w:rsid w:val="00AD5734"/>
    <w:rsid w:val="00AD5E74"/>
    <w:rsid w:val="00AE13F7"/>
    <w:rsid w:val="00AE1A33"/>
    <w:rsid w:val="00AE22F5"/>
    <w:rsid w:val="00AE25A3"/>
    <w:rsid w:val="00AE2915"/>
    <w:rsid w:val="00AE4AC0"/>
    <w:rsid w:val="00AE6C57"/>
    <w:rsid w:val="00AE700A"/>
    <w:rsid w:val="00AE7543"/>
    <w:rsid w:val="00AF0C25"/>
    <w:rsid w:val="00AF5D06"/>
    <w:rsid w:val="00B01644"/>
    <w:rsid w:val="00B0382C"/>
    <w:rsid w:val="00B04F87"/>
    <w:rsid w:val="00B05560"/>
    <w:rsid w:val="00B057D3"/>
    <w:rsid w:val="00B05C88"/>
    <w:rsid w:val="00B0610A"/>
    <w:rsid w:val="00B12F4C"/>
    <w:rsid w:val="00B133E9"/>
    <w:rsid w:val="00B1632C"/>
    <w:rsid w:val="00B17399"/>
    <w:rsid w:val="00B202B5"/>
    <w:rsid w:val="00B224A5"/>
    <w:rsid w:val="00B32848"/>
    <w:rsid w:val="00B343E3"/>
    <w:rsid w:val="00B348F3"/>
    <w:rsid w:val="00B350CF"/>
    <w:rsid w:val="00B355E6"/>
    <w:rsid w:val="00B3764C"/>
    <w:rsid w:val="00B403A6"/>
    <w:rsid w:val="00B410C9"/>
    <w:rsid w:val="00B41726"/>
    <w:rsid w:val="00B464FA"/>
    <w:rsid w:val="00B47AA8"/>
    <w:rsid w:val="00B47F94"/>
    <w:rsid w:val="00B51011"/>
    <w:rsid w:val="00B51B1D"/>
    <w:rsid w:val="00B533FA"/>
    <w:rsid w:val="00B536FC"/>
    <w:rsid w:val="00B61C35"/>
    <w:rsid w:val="00B62A13"/>
    <w:rsid w:val="00B63B6B"/>
    <w:rsid w:val="00B64BA4"/>
    <w:rsid w:val="00B6770E"/>
    <w:rsid w:val="00B70BBE"/>
    <w:rsid w:val="00B71884"/>
    <w:rsid w:val="00B729D6"/>
    <w:rsid w:val="00B731B0"/>
    <w:rsid w:val="00B73D06"/>
    <w:rsid w:val="00B745D4"/>
    <w:rsid w:val="00B758F5"/>
    <w:rsid w:val="00B8115D"/>
    <w:rsid w:val="00B823AA"/>
    <w:rsid w:val="00B83D80"/>
    <w:rsid w:val="00B85E0E"/>
    <w:rsid w:val="00B87D69"/>
    <w:rsid w:val="00B95486"/>
    <w:rsid w:val="00B96A65"/>
    <w:rsid w:val="00B974AA"/>
    <w:rsid w:val="00B97AA0"/>
    <w:rsid w:val="00BA1677"/>
    <w:rsid w:val="00BA7A50"/>
    <w:rsid w:val="00BB0C63"/>
    <w:rsid w:val="00BB56B8"/>
    <w:rsid w:val="00BB6DC6"/>
    <w:rsid w:val="00BC3179"/>
    <w:rsid w:val="00BC3594"/>
    <w:rsid w:val="00BC3911"/>
    <w:rsid w:val="00BC6E4F"/>
    <w:rsid w:val="00BD27F4"/>
    <w:rsid w:val="00BD4292"/>
    <w:rsid w:val="00BD5268"/>
    <w:rsid w:val="00BD6491"/>
    <w:rsid w:val="00BE0E18"/>
    <w:rsid w:val="00BE6000"/>
    <w:rsid w:val="00BE6149"/>
    <w:rsid w:val="00BE72FD"/>
    <w:rsid w:val="00BE7B76"/>
    <w:rsid w:val="00BF0593"/>
    <w:rsid w:val="00BF52E1"/>
    <w:rsid w:val="00C02E90"/>
    <w:rsid w:val="00C06585"/>
    <w:rsid w:val="00C102EB"/>
    <w:rsid w:val="00C1172F"/>
    <w:rsid w:val="00C12A95"/>
    <w:rsid w:val="00C13B94"/>
    <w:rsid w:val="00C1460A"/>
    <w:rsid w:val="00C23BBE"/>
    <w:rsid w:val="00C25AA1"/>
    <w:rsid w:val="00C27139"/>
    <w:rsid w:val="00C30AC8"/>
    <w:rsid w:val="00C343AB"/>
    <w:rsid w:val="00C37773"/>
    <w:rsid w:val="00C404AD"/>
    <w:rsid w:val="00C42C52"/>
    <w:rsid w:val="00C43865"/>
    <w:rsid w:val="00C44434"/>
    <w:rsid w:val="00C462F7"/>
    <w:rsid w:val="00C524EF"/>
    <w:rsid w:val="00C56087"/>
    <w:rsid w:val="00C56BFD"/>
    <w:rsid w:val="00C62C6C"/>
    <w:rsid w:val="00C64105"/>
    <w:rsid w:val="00C64FBA"/>
    <w:rsid w:val="00C666EA"/>
    <w:rsid w:val="00C70E76"/>
    <w:rsid w:val="00C718D6"/>
    <w:rsid w:val="00C753CF"/>
    <w:rsid w:val="00C8417A"/>
    <w:rsid w:val="00C849CA"/>
    <w:rsid w:val="00C8524D"/>
    <w:rsid w:val="00C86A6D"/>
    <w:rsid w:val="00C91670"/>
    <w:rsid w:val="00C95FE9"/>
    <w:rsid w:val="00C962CB"/>
    <w:rsid w:val="00C96D5D"/>
    <w:rsid w:val="00C97582"/>
    <w:rsid w:val="00CA0601"/>
    <w:rsid w:val="00CA0CF5"/>
    <w:rsid w:val="00CA0F2A"/>
    <w:rsid w:val="00CA14DF"/>
    <w:rsid w:val="00CA3EED"/>
    <w:rsid w:val="00CA495B"/>
    <w:rsid w:val="00CA7322"/>
    <w:rsid w:val="00CA77C5"/>
    <w:rsid w:val="00CA7A02"/>
    <w:rsid w:val="00CB1CB8"/>
    <w:rsid w:val="00CB2D6E"/>
    <w:rsid w:val="00CB60D6"/>
    <w:rsid w:val="00CB74DF"/>
    <w:rsid w:val="00CB7A86"/>
    <w:rsid w:val="00CB7C8A"/>
    <w:rsid w:val="00CC6E47"/>
    <w:rsid w:val="00CC6E50"/>
    <w:rsid w:val="00CD37B5"/>
    <w:rsid w:val="00CD4772"/>
    <w:rsid w:val="00CD5000"/>
    <w:rsid w:val="00CE7032"/>
    <w:rsid w:val="00CE766E"/>
    <w:rsid w:val="00CF09E5"/>
    <w:rsid w:val="00CF1F5C"/>
    <w:rsid w:val="00CF244A"/>
    <w:rsid w:val="00CF3BF1"/>
    <w:rsid w:val="00CF42FA"/>
    <w:rsid w:val="00CF48D1"/>
    <w:rsid w:val="00CF6B84"/>
    <w:rsid w:val="00D0424F"/>
    <w:rsid w:val="00D0446A"/>
    <w:rsid w:val="00D074F0"/>
    <w:rsid w:val="00D0770C"/>
    <w:rsid w:val="00D079B8"/>
    <w:rsid w:val="00D10B20"/>
    <w:rsid w:val="00D12C50"/>
    <w:rsid w:val="00D14AFB"/>
    <w:rsid w:val="00D152E5"/>
    <w:rsid w:val="00D15448"/>
    <w:rsid w:val="00D1599E"/>
    <w:rsid w:val="00D16D97"/>
    <w:rsid w:val="00D247CE"/>
    <w:rsid w:val="00D24889"/>
    <w:rsid w:val="00D26E4E"/>
    <w:rsid w:val="00D27040"/>
    <w:rsid w:val="00D301F7"/>
    <w:rsid w:val="00D31A42"/>
    <w:rsid w:val="00D3205B"/>
    <w:rsid w:val="00D32B59"/>
    <w:rsid w:val="00D32C88"/>
    <w:rsid w:val="00D33605"/>
    <w:rsid w:val="00D33BAA"/>
    <w:rsid w:val="00D35E36"/>
    <w:rsid w:val="00D364C1"/>
    <w:rsid w:val="00D37B53"/>
    <w:rsid w:val="00D40F0D"/>
    <w:rsid w:val="00D41A78"/>
    <w:rsid w:val="00D4259C"/>
    <w:rsid w:val="00D4534E"/>
    <w:rsid w:val="00D464F1"/>
    <w:rsid w:val="00D46FBF"/>
    <w:rsid w:val="00D514FA"/>
    <w:rsid w:val="00D53816"/>
    <w:rsid w:val="00D53C1E"/>
    <w:rsid w:val="00D55922"/>
    <w:rsid w:val="00D6289A"/>
    <w:rsid w:val="00D62A86"/>
    <w:rsid w:val="00D62CD7"/>
    <w:rsid w:val="00D6395D"/>
    <w:rsid w:val="00D672FC"/>
    <w:rsid w:val="00D7188F"/>
    <w:rsid w:val="00D77A80"/>
    <w:rsid w:val="00D805A2"/>
    <w:rsid w:val="00D813B3"/>
    <w:rsid w:val="00D814FD"/>
    <w:rsid w:val="00D84B37"/>
    <w:rsid w:val="00D85510"/>
    <w:rsid w:val="00D9220A"/>
    <w:rsid w:val="00D92752"/>
    <w:rsid w:val="00D960F8"/>
    <w:rsid w:val="00D96E2A"/>
    <w:rsid w:val="00DA02FC"/>
    <w:rsid w:val="00DA097D"/>
    <w:rsid w:val="00DA4B8D"/>
    <w:rsid w:val="00DA5A89"/>
    <w:rsid w:val="00DA6183"/>
    <w:rsid w:val="00DA6A27"/>
    <w:rsid w:val="00DB37F5"/>
    <w:rsid w:val="00DB4156"/>
    <w:rsid w:val="00DB5061"/>
    <w:rsid w:val="00DB5583"/>
    <w:rsid w:val="00DC0858"/>
    <w:rsid w:val="00DC0A56"/>
    <w:rsid w:val="00DC1595"/>
    <w:rsid w:val="00DC7436"/>
    <w:rsid w:val="00DC76F5"/>
    <w:rsid w:val="00DD0DBA"/>
    <w:rsid w:val="00DD2103"/>
    <w:rsid w:val="00DD2853"/>
    <w:rsid w:val="00DD796C"/>
    <w:rsid w:val="00DE0E2B"/>
    <w:rsid w:val="00DE49C1"/>
    <w:rsid w:val="00DF2379"/>
    <w:rsid w:val="00DF2710"/>
    <w:rsid w:val="00DF30DF"/>
    <w:rsid w:val="00DF47A7"/>
    <w:rsid w:val="00DF5839"/>
    <w:rsid w:val="00DF7595"/>
    <w:rsid w:val="00E02E9A"/>
    <w:rsid w:val="00E046A0"/>
    <w:rsid w:val="00E074AD"/>
    <w:rsid w:val="00E12617"/>
    <w:rsid w:val="00E1273E"/>
    <w:rsid w:val="00E13AAE"/>
    <w:rsid w:val="00E14CB5"/>
    <w:rsid w:val="00E264A2"/>
    <w:rsid w:val="00E26E64"/>
    <w:rsid w:val="00E33293"/>
    <w:rsid w:val="00E371B6"/>
    <w:rsid w:val="00E4047A"/>
    <w:rsid w:val="00E40861"/>
    <w:rsid w:val="00E409BB"/>
    <w:rsid w:val="00E41165"/>
    <w:rsid w:val="00E4584D"/>
    <w:rsid w:val="00E47528"/>
    <w:rsid w:val="00E512DA"/>
    <w:rsid w:val="00E5208A"/>
    <w:rsid w:val="00E6336E"/>
    <w:rsid w:val="00E6338D"/>
    <w:rsid w:val="00E633B2"/>
    <w:rsid w:val="00E64FA0"/>
    <w:rsid w:val="00E677D7"/>
    <w:rsid w:val="00E714E1"/>
    <w:rsid w:val="00E72083"/>
    <w:rsid w:val="00E72CEC"/>
    <w:rsid w:val="00E742D5"/>
    <w:rsid w:val="00E75F4E"/>
    <w:rsid w:val="00E776B9"/>
    <w:rsid w:val="00E804AE"/>
    <w:rsid w:val="00E838CC"/>
    <w:rsid w:val="00E85680"/>
    <w:rsid w:val="00E861D0"/>
    <w:rsid w:val="00E87589"/>
    <w:rsid w:val="00E92C8A"/>
    <w:rsid w:val="00E9303C"/>
    <w:rsid w:val="00E96672"/>
    <w:rsid w:val="00EA1E23"/>
    <w:rsid w:val="00EA3F91"/>
    <w:rsid w:val="00EB05D0"/>
    <w:rsid w:val="00EB3CBF"/>
    <w:rsid w:val="00EB40BA"/>
    <w:rsid w:val="00EB4965"/>
    <w:rsid w:val="00EB6FDD"/>
    <w:rsid w:val="00EC3CF7"/>
    <w:rsid w:val="00EC3DDF"/>
    <w:rsid w:val="00EC5C3A"/>
    <w:rsid w:val="00EC7E8D"/>
    <w:rsid w:val="00ED170E"/>
    <w:rsid w:val="00ED34F6"/>
    <w:rsid w:val="00ED4519"/>
    <w:rsid w:val="00ED4A98"/>
    <w:rsid w:val="00EE2054"/>
    <w:rsid w:val="00EE24FD"/>
    <w:rsid w:val="00EE293A"/>
    <w:rsid w:val="00EE395D"/>
    <w:rsid w:val="00EF1A1A"/>
    <w:rsid w:val="00EF4BC0"/>
    <w:rsid w:val="00EF4C9A"/>
    <w:rsid w:val="00F000F5"/>
    <w:rsid w:val="00F048A7"/>
    <w:rsid w:val="00F0545B"/>
    <w:rsid w:val="00F055EF"/>
    <w:rsid w:val="00F06BB2"/>
    <w:rsid w:val="00F10082"/>
    <w:rsid w:val="00F11BA3"/>
    <w:rsid w:val="00F12FD7"/>
    <w:rsid w:val="00F16A23"/>
    <w:rsid w:val="00F2085F"/>
    <w:rsid w:val="00F21E02"/>
    <w:rsid w:val="00F2209A"/>
    <w:rsid w:val="00F23D5E"/>
    <w:rsid w:val="00F2432A"/>
    <w:rsid w:val="00F279CE"/>
    <w:rsid w:val="00F27C0D"/>
    <w:rsid w:val="00F30D10"/>
    <w:rsid w:val="00F31569"/>
    <w:rsid w:val="00F31759"/>
    <w:rsid w:val="00F34761"/>
    <w:rsid w:val="00F359DD"/>
    <w:rsid w:val="00F362CE"/>
    <w:rsid w:val="00F3715B"/>
    <w:rsid w:val="00F37A95"/>
    <w:rsid w:val="00F37D73"/>
    <w:rsid w:val="00F404EF"/>
    <w:rsid w:val="00F4133A"/>
    <w:rsid w:val="00F42066"/>
    <w:rsid w:val="00F43292"/>
    <w:rsid w:val="00F508CB"/>
    <w:rsid w:val="00F50D14"/>
    <w:rsid w:val="00F5273A"/>
    <w:rsid w:val="00F527FE"/>
    <w:rsid w:val="00F53217"/>
    <w:rsid w:val="00F57F37"/>
    <w:rsid w:val="00F61C2D"/>
    <w:rsid w:val="00F6398D"/>
    <w:rsid w:val="00F64B39"/>
    <w:rsid w:val="00F7117A"/>
    <w:rsid w:val="00F711CE"/>
    <w:rsid w:val="00F716A9"/>
    <w:rsid w:val="00F72B47"/>
    <w:rsid w:val="00F73206"/>
    <w:rsid w:val="00F74855"/>
    <w:rsid w:val="00F762BA"/>
    <w:rsid w:val="00F76654"/>
    <w:rsid w:val="00F77683"/>
    <w:rsid w:val="00F80BE7"/>
    <w:rsid w:val="00F826B9"/>
    <w:rsid w:val="00F84FF2"/>
    <w:rsid w:val="00F87915"/>
    <w:rsid w:val="00F911CE"/>
    <w:rsid w:val="00F9709C"/>
    <w:rsid w:val="00FA1BC4"/>
    <w:rsid w:val="00FA1DC5"/>
    <w:rsid w:val="00FA7EAC"/>
    <w:rsid w:val="00FB026D"/>
    <w:rsid w:val="00FB39D2"/>
    <w:rsid w:val="00FB43E6"/>
    <w:rsid w:val="00FD1670"/>
    <w:rsid w:val="00FD2435"/>
    <w:rsid w:val="00FD49E2"/>
    <w:rsid w:val="00FD60E3"/>
    <w:rsid w:val="00FE166A"/>
    <w:rsid w:val="00FE4D8F"/>
    <w:rsid w:val="00FE6320"/>
    <w:rsid w:val="00FF2177"/>
    <w:rsid w:val="00FF33C3"/>
    <w:rsid w:val="00FF4373"/>
    <w:rsid w:val="2F174C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DAF7"/>
  <w15:docId w15:val="{93964550-F241-4665-91E5-674BED31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w:eastAsia="Gill Sans" w:hAnsi="Gill Sans" w:cs="Gill Sans"/>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E9"/>
    <w:rPr>
      <w:rFonts w:ascii="Gill Sans Nova Light" w:hAnsi="Gill Sans Nova Light"/>
    </w:rPr>
  </w:style>
  <w:style w:type="paragraph" w:styleId="Heading1">
    <w:name w:val="heading 1"/>
    <w:basedOn w:val="Normal"/>
    <w:next w:val="Normal"/>
    <w:link w:val="Heading1Char"/>
    <w:uiPriority w:val="9"/>
    <w:qFormat/>
    <w:rsid w:val="00BE690F"/>
    <w:pPr>
      <w:keepNext/>
      <w:pageBreakBefore/>
      <w:pBdr>
        <w:top w:val="single" w:sz="12" w:space="5" w:color="BA0C2F"/>
        <w:bottom w:val="single" w:sz="12" w:space="5" w:color="BA0C2F"/>
      </w:pBdr>
      <w:shd w:val="clear" w:color="000000" w:fill="auto"/>
      <w:tabs>
        <w:tab w:val="left" w:pos="0"/>
      </w:tabs>
      <w:spacing w:after="900"/>
      <w:outlineLvl w:val="0"/>
    </w:pPr>
    <w:rPr>
      <w:rFonts w:ascii="Gill Sans" w:eastAsia="Times New Roman" w:hAnsi="Gill Sans" w:cs="Times New Roman"/>
      <w:snapToGrid w:val="0"/>
      <w:color w:val="002F6C"/>
      <w:sz w:val="60"/>
      <w:szCs w:val="20"/>
    </w:rPr>
  </w:style>
  <w:style w:type="paragraph" w:styleId="Heading2">
    <w:name w:val="heading 2"/>
    <w:basedOn w:val="Normal"/>
    <w:next w:val="Normal"/>
    <w:link w:val="Heading2Char"/>
    <w:uiPriority w:val="9"/>
    <w:unhideWhenUsed/>
    <w:qFormat/>
    <w:rsid w:val="00261961"/>
    <w:pPr>
      <w:keepNext/>
      <w:shd w:val="clear" w:color="C0C0C0" w:fill="auto"/>
      <w:tabs>
        <w:tab w:val="left" w:pos="720"/>
      </w:tabs>
      <w:spacing w:before="160" w:after="80"/>
      <w:outlineLvl w:val="1"/>
    </w:pPr>
    <w:rPr>
      <w:rFonts w:ascii="Gill Sans" w:eastAsia="Times New Roman" w:hAnsi="Gill Sans" w:cs="Times New Roman"/>
      <w:snapToGrid w:val="0"/>
      <w:color w:val="002A6C"/>
      <w:sz w:val="32"/>
      <w:szCs w:val="20"/>
    </w:rPr>
  </w:style>
  <w:style w:type="paragraph" w:styleId="Heading3">
    <w:name w:val="heading 3"/>
    <w:basedOn w:val="Heading2"/>
    <w:next w:val="Normal"/>
    <w:link w:val="Heading3Char"/>
    <w:uiPriority w:val="9"/>
    <w:semiHidden/>
    <w:unhideWhenUsed/>
    <w:qFormat/>
    <w:rsid w:val="001415C8"/>
    <w:pPr>
      <w:numPr>
        <w:ilvl w:val="2"/>
      </w:numPr>
      <w:shd w:val="clear" w:color="C0C0C0" w:fill="FFFFFF"/>
      <w:outlineLvl w:val="2"/>
    </w:pPr>
    <w:rPr>
      <w:sz w:val="28"/>
      <w:u w:color="808080"/>
    </w:rPr>
  </w:style>
  <w:style w:type="paragraph" w:styleId="Heading4">
    <w:name w:val="heading 4"/>
    <w:basedOn w:val="Heading3"/>
    <w:next w:val="Normal"/>
    <w:link w:val="Heading4Char"/>
    <w:uiPriority w:val="9"/>
    <w:semiHidden/>
    <w:unhideWhenUsed/>
    <w:qFormat/>
    <w:rsid w:val="001415C8"/>
    <w:pPr>
      <w:numPr>
        <w:ilvl w:val="3"/>
      </w:numPr>
      <w:outlineLvl w:val="3"/>
    </w:pPr>
    <w:rPr>
      <w:i/>
      <w:sz w:val="24"/>
    </w:rPr>
  </w:style>
  <w:style w:type="paragraph" w:styleId="Heading5">
    <w:name w:val="heading 5"/>
    <w:basedOn w:val="Normal"/>
    <w:next w:val="Normal"/>
    <w:link w:val="Heading5Char"/>
    <w:uiPriority w:val="9"/>
    <w:semiHidden/>
    <w:unhideWhenUsed/>
    <w:qFormat/>
    <w:rsid w:val="001415C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415C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415C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415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15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1-BodyText">
    <w:name w:val="1-Body Text"/>
    <w:basedOn w:val="Normal"/>
    <w:qFormat/>
    <w:rsid w:val="001415C8"/>
  </w:style>
  <w:style w:type="character" w:styleId="Hyperlink">
    <w:name w:val="Hyperlink"/>
    <w:basedOn w:val="DefaultParagraphFont"/>
    <w:uiPriority w:val="99"/>
    <w:unhideWhenUsed/>
    <w:rsid w:val="001415C8"/>
    <w:rPr>
      <w:color w:val="0563C1" w:themeColor="hyperlink"/>
      <w:u w:val="single"/>
    </w:rPr>
  </w:style>
  <w:style w:type="character" w:styleId="UnresolvedMention">
    <w:name w:val="Unresolved Mention"/>
    <w:basedOn w:val="DefaultParagraphFont"/>
    <w:uiPriority w:val="99"/>
    <w:semiHidden/>
    <w:unhideWhenUsed/>
    <w:rsid w:val="001415C8"/>
    <w:rPr>
      <w:color w:val="605E5C"/>
      <w:shd w:val="clear" w:color="auto" w:fill="E1DFDD"/>
    </w:rPr>
  </w:style>
  <w:style w:type="character" w:customStyle="1" w:styleId="Heading1Char">
    <w:name w:val="Heading 1 Char"/>
    <w:basedOn w:val="DefaultParagraphFont"/>
    <w:link w:val="Heading1"/>
    <w:rsid w:val="00BE690F"/>
    <w:rPr>
      <w:rFonts w:ascii="Gill Sans" w:eastAsia="Times New Roman" w:hAnsi="Gill Sans" w:cs="Times New Roman"/>
      <w:snapToGrid w:val="0"/>
      <w:color w:val="002F6C"/>
      <w:sz w:val="60"/>
      <w:szCs w:val="20"/>
      <w:shd w:val="clear" w:color="000000" w:fill="auto"/>
    </w:rPr>
  </w:style>
  <w:style w:type="character" w:customStyle="1" w:styleId="Heading2Char">
    <w:name w:val="Heading 2 Char"/>
    <w:basedOn w:val="DefaultParagraphFont"/>
    <w:link w:val="Heading2"/>
    <w:rsid w:val="00261961"/>
    <w:rPr>
      <w:rFonts w:ascii="Gill Sans" w:eastAsia="Times New Roman" w:hAnsi="Gill Sans" w:cs="Times New Roman"/>
      <w:snapToGrid w:val="0"/>
      <w:color w:val="002A6C"/>
      <w:sz w:val="32"/>
      <w:szCs w:val="20"/>
      <w:shd w:val="clear" w:color="C0C0C0" w:fill="auto"/>
    </w:rPr>
  </w:style>
  <w:style w:type="character" w:customStyle="1" w:styleId="Heading3Char">
    <w:name w:val="Heading 3 Char"/>
    <w:basedOn w:val="DefaultParagraphFont"/>
    <w:link w:val="Heading3"/>
    <w:rsid w:val="001415C8"/>
    <w:rPr>
      <w:rFonts w:ascii="Arial" w:eastAsia="Times New Roman" w:hAnsi="Arial" w:cs="Times New Roman"/>
      <w:smallCaps/>
      <w:snapToGrid w:val="0"/>
      <w:color w:val="002A6C"/>
      <w:sz w:val="28"/>
      <w:szCs w:val="20"/>
      <w:u w:color="808080"/>
      <w:shd w:val="clear" w:color="C0C0C0" w:fill="FFFFFF"/>
    </w:rPr>
  </w:style>
  <w:style w:type="character" w:customStyle="1" w:styleId="Heading4Char">
    <w:name w:val="Heading 4 Char"/>
    <w:basedOn w:val="DefaultParagraphFont"/>
    <w:link w:val="Heading4"/>
    <w:rsid w:val="001415C8"/>
    <w:rPr>
      <w:rFonts w:ascii="Arial" w:eastAsia="Times New Roman" w:hAnsi="Arial" w:cs="Times New Roman"/>
      <w:i/>
      <w:smallCaps/>
      <w:snapToGrid w:val="0"/>
      <w:color w:val="002A6C"/>
      <w:sz w:val="24"/>
      <w:szCs w:val="20"/>
      <w:u w:color="808080"/>
      <w:shd w:val="clear" w:color="C0C0C0" w:fill="FFFFFF"/>
    </w:rPr>
  </w:style>
  <w:style w:type="character" w:customStyle="1" w:styleId="Heading5Char">
    <w:name w:val="Heading 5 Char"/>
    <w:basedOn w:val="DefaultParagraphFont"/>
    <w:link w:val="Heading5"/>
    <w:uiPriority w:val="9"/>
    <w:semiHidden/>
    <w:rsid w:val="001415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415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415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415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15C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1415C8"/>
    <w:pPr>
      <w:tabs>
        <w:tab w:val="center" w:pos="4680"/>
        <w:tab w:val="right" w:pos="9360"/>
      </w:tabs>
      <w:spacing w:after="0"/>
    </w:pPr>
  </w:style>
  <w:style w:type="character" w:customStyle="1" w:styleId="HeaderChar">
    <w:name w:val="Header Char"/>
    <w:basedOn w:val="DefaultParagraphFont"/>
    <w:link w:val="Header"/>
    <w:rsid w:val="001415C8"/>
  </w:style>
  <w:style w:type="paragraph" w:styleId="Footer">
    <w:name w:val="footer"/>
    <w:basedOn w:val="Normal"/>
    <w:link w:val="FooterChar"/>
    <w:uiPriority w:val="99"/>
    <w:unhideWhenUsed/>
    <w:rsid w:val="001415C8"/>
    <w:pPr>
      <w:tabs>
        <w:tab w:val="center" w:pos="4680"/>
        <w:tab w:val="right" w:pos="9360"/>
      </w:tabs>
      <w:spacing w:after="0"/>
    </w:pPr>
  </w:style>
  <w:style w:type="character" w:customStyle="1" w:styleId="FooterChar">
    <w:name w:val="Footer Char"/>
    <w:basedOn w:val="DefaultParagraphFont"/>
    <w:link w:val="Footer"/>
    <w:uiPriority w:val="99"/>
    <w:rsid w:val="001415C8"/>
  </w:style>
  <w:style w:type="paragraph" w:customStyle="1" w:styleId="Contents">
    <w:name w:val="Contents"/>
    <w:basedOn w:val="Heading1"/>
    <w:qFormat/>
    <w:rsid w:val="00405868"/>
    <w:pPr>
      <w:ind w:left="14"/>
      <w:outlineLvl w:val="9"/>
    </w:pPr>
  </w:style>
  <w:style w:type="paragraph" w:customStyle="1" w:styleId="1LevelNoNumber">
    <w:name w:val="1 Level No Number"/>
    <w:basedOn w:val="Heading1"/>
    <w:qFormat/>
    <w:rsid w:val="00405868"/>
    <w:pPr>
      <w:ind w:left="14"/>
    </w:pPr>
  </w:style>
  <w:style w:type="paragraph" w:styleId="TOC1">
    <w:name w:val="toc 1"/>
    <w:basedOn w:val="Normal"/>
    <w:next w:val="Normal"/>
    <w:autoRedefine/>
    <w:uiPriority w:val="39"/>
    <w:unhideWhenUsed/>
    <w:rsid w:val="00405868"/>
    <w:pPr>
      <w:tabs>
        <w:tab w:val="right" w:leader="dot" w:pos="9350"/>
      </w:tabs>
      <w:spacing w:after="100"/>
      <w:ind w:left="450" w:hanging="450"/>
    </w:pPr>
    <w:rPr>
      <w:b/>
      <w:bCs/>
      <w:noProof/>
    </w:rPr>
  </w:style>
  <w:style w:type="paragraph" w:styleId="TOC2">
    <w:name w:val="toc 2"/>
    <w:basedOn w:val="Normal"/>
    <w:next w:val="Normal"/>
    <w:autoRedefine/>
    <w:uiPriority w:val="39"/>
    <w:unhideWhenUsed/>
    <w:rsid w:val="00405868"/>
    <w:pPr>
      <w:tabs>
        <w:tab w:val="left" w:pos="880"/>
        <w:tab w:val="right" w:leader="dot" w:pos="9350"/>
      </w:tabs>
      <w:spacing w:after="100"/>
      <w:ind w:left="450"/>
    </w:pPr>
  </w:style>
  <w:style w:type="table" w:styleId="TableGrid">
    <w:name w:val="Table Grid"/>
    <w:basedOn w:val="TableNormal"/>
    <w:uiPriority w:val="39"/>
    <w:rsid w:val="009F71F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next w:val="Caption"/>
    <w:qFormat/>
    <w:rsid w:val="003F299B"/>
    <w:pPr>
      <w:spacing w:after="120"/>
      <w:jc w:val="center"/>
    </w:pPr>
    <w:rPr>
      <w:rFonts w:ascii="Gill Sans" w:hAnsi="Gill Sans"/>
      <w:b/>
      <w:bCs/>
      <w:i w:val="0"/>
      <w:iCs w:val="0"/>
      <w:color w:val="BA0C2F"/>
      <w:sz w:val="24"/>
      <w:szCs w:val="24"/>
    </w:rPr>
  </w:style>
  <w:style w:type="paragraph" w:customStyle="1" w:styleId="TableHeader">
    <w:name w:val="Table Header"/>
    <w:basedOn w:val="1-BodyText"/>
    <w:qFormat/>
    <w:rsid w:val="003F299B"/>
    <w:pPr>
      <w:spacing w:after="0"/>
      <w:jc w:val="center"/>
    </w:pPr>
    <w:rPr>
      <w:b/>
      <w:bCs/>
      <w:color w:val="FFFFFF" w:themeColor="background1"/>
      <w:sz w:val="20"/>
      <w:szCs w:val="20"/>
    </w:rPr>
  </w:style>
  <w:style w:type="paragraph" w:styleId="Caption">
    <w:name w:val="caption"/>
    <w:basedOn w:val="Normal"/>
    <w:next w:val="Normal"/>
    <w:uiPriority w:val="35"/>
    <w:semiHidden/>
    <w:unhideWhenUsed/>
    <w:qFormat/>
    <w:rsid w:val="003F299B"/>
    <w:pPr>
      <w:spacing w:after="200"/>
    </w:pPr>
    <w:rPr>
      <w:i/>
      <w:iCs/>
      <w:color w:val="44546A" w:themeColor="text2"/>
      <w:sz w:val="18"/>
      <w:szCs w:val="18"/>
    </w:rPr>
  </w:style>
  <w:style w:type="paragraph" w:customStyle="1" w:styleId="FigureTitle">
    <w:name w:val="Figure Title"/>
    <w:basedOn w:val="TableTitle"/>
    <w:qFormat/>
    <w:rsid w:val="003F299B"/>
  </w:style>
  <w:style w:type="character" w:styleId="CommentReference">
    <w:name w:val="annotation reference"/>
    <w:basedOn w:val="DefaultParagraphFont"/>
    <w:uiPriority w:val="99"/>
    <w:semiHidden/>
    <w:unhideWhenUsed/>
    <w:rsid w:val="00D46213"/>
    <w:rPr>
      <w:sz w:val="16"/>
      <w:szCs w:val="16"/>
    </w:rPr>
  </w:style>
  <w:style w:type="paragraph" w:styleId="CommentText">
    <w:name w:val="annotation text"/>
    <w:basedOn w:val="Normal"/>
    <w:link w:val="CommentTextChar"/>
    <w:uiPriority w:val="99"/>
    <w:unhideWhenUsed/>
    <w:rsid w:val="00D46213"/>
    <w:rPr>
      <w:sz w:val="20"/>
      <w:szCs w:val="20"/>
    </w:rPr>
  </w:style>
  <w:style w:type="character" w:customStyle="1" w:styleId="CommentTextChar">
    <w:name w:val="Comment Text Char"/>
    <w:basedOn w:val="DefaultParagraphFont"/>
    <w:link w:val="CommentText"/>
    <w:uiPriority w:val="99"/>
    <w:rsid w:val="00D46213"/>
    <w:rPr>
      <w:rFonts w:ascii="Gill Sans Nova Light" w:hAnsi="Gill Sans Nova Light"/>
      <w:sz w:val="20"/>
      <w:szCs w:val="20"/>
    </w:rPr>
  </w:style>
  <w:style w:type="paragraph" w:styleId="CommentSubject">
    <w:name w:val="annotation subject"/>
    <w:basedOn w:val="CommentText"/>
    <w:next w:val="CommentText"/>
    <w:link w:val="CommentSubjectChar"/>
    <w:uiPriority w:val="99"/>
    <w:semiHidden/>
    <w:unhideWhenUsed/>
    <w:rsid w:val="00D46213"/>
    <w:rPr>
      <w:b/>
      <w:bCs/>
    </w:rPr>
  </w:style>
  <w:style w:type="character" w:customStyle="1" w:styleId="CommentSubjectChar">
    <w:name w:val="Comment Subject Char"/>
    <w:basedOn w:val="CommentTextChar"/>
    <w:link w:val="CommentSubject"/>
    <w:uiPriority w:val="99"/>
    <w:semiHidden/>
    <w:rsid w:val="00D46213"/>
    <w:rPr>
      <w:rFonts w:ascii="Gill Sans Nova Light" w:hAnsi="Gill Sans Nova Light"/>
      <w:b/>
      <w:bCs/>
      <w:sz w:val="20"/>
      <w:szCs w:val="20"/>
    </w:rPr>
  </w:style>
  <w:style w:type="paragraph" w:customStyle="1" w:styleId="AcronymsBold">
    <w:name w:val="Acronyms Bold"/>
    <w:basedOn w:val="Normal"/>
    <w:link w:val="AcronymsBoldChar"/>
    <w:rsid w:val="0003082B"/>
    <w:pPr>
      <w:keepNext/>
      <w:tabs>
        <w:tab w:val="left" w:pos="2160"/>
        <w:tab w:val="left" w:pos="2880"/>
      </w:tabs>
      <w:spacing w:after="120"/>
      <w:ind w:left="360"/>
    </w:pPr>
    <w:rPr>
      <w:rFonts w:ascii="Garamond" w:eastAsia="Times New Roman" w:hAnsi="Garamond" w:cs="Times New Roman"/>
      <w:b/>
      <w:bCs/>
      <w:snapToGrid w:val="0"/>
      <w:szCs w:val="20"/>
    </w:rPr>
  </w:style>
  <w:style w:type="character" w:customStyle="1" w:styleId="AcronymsBoldChar">
    <w:name w:val="Acronyms Bold Char"/>
    <w:basedOn w:val="DefaultParagraphFont"/>
    <w:link w:val="AcronymsBold"/>
    <w:rsid w:val="0003082B"/>
    <w:rPr>
      <w:rFonts w:ascii="Garamond" w:eastAsia="Times New Roman" w:hAnsi="Garamond" w:cs="Times New Roman"/>
      <w:b/>
      <w:bCs/>
      <w:snapToGrid w:val="0"/>
      <w:szCs w:val="20"/>
    </w:rPr>
  </w:style>
  <w:style w:type="paragraph" w:styleId="ListParagraph">
    <w:name w:val="List Paragraph"/>
    <w:basedOn w:val="Normal"/>
    <w:uiPriority w:val="34"/>
    <w:qFormat/>
    <w:rsid w:val="00521B8F"/>
    <w:pPr>
      <w:ind w:left="720"/>
      <w:contextualSpacing/>
    </w:pPr>
  </w:style>
  <w:style w:type="paragraph" w:customStyle="1" w:styleId="1-BodyTextItalics">
    <w:name w:val="1-Body Text + Italics"/>
    <w:basedOn w:val="1-BodyText"/>
    <w:qFormat/>
    <w:rsid w:val="005A04B6"/>
    <w:rPr>
      <w:i/>
    </w:rPr>
  </w:style>
  <w:style w:type="paragraph" w:customStyle="1" w:styleId="1-BodyTextBoldCentered">
    <w:name w:val="1-Body Text (Bold+Centered)"/>
    <w:basedOn w:val="1-BodyText"/>
    <w:qFormat/>
    <w:rsid w:val="00553887"/>
    <w:pPr>
      <w:jc w:val="center"/>
    </w:pPr>
    <w:rPr>
      <w:b/>
    </w:rPr>
  </w:style>
  <w:style w:type="table" w:customStyle="1" w:styleId="TableGrid1">
    <w:name w:val="Table Grid1"/>
    <w:basedOn w:val="TableNormal"/>
    <w:next w:val="TableGrid"/>
    <w:uiPriority w:val="59"/>
    <w:rsid w:val="00FE663E"/>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06A8"/>
    <w:pPr>
      <w:spacing w:after="0"/>
    </w:pPr>
    <w:rPr>
      <w:rFonts w:ascii="Gill Sans Nova Light" w:hAnsi="Gill Sans Nova Light"/>
    </w:rPr>
  </w:style>
  <w:style w:type="character" w:styleId="Mention">
    <w:name w:val="Mention"/>
    <w:basedOn w:val="DefaultParagraphFont"/>
    <w:uiPriority w:val="99"/>
    <w:unhideWhenUsed/>
    <w:rsid w:val="0037521B"/>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tblPr>
      <w:tblStyleRowBandSize w:val="1"/>
      <w:tblStyleColBandSize w:val="1"/>
    </w:tblPr>
  </w:style>
  <w:style w:type="paragraph" w:styleId="FootnoteText">
    <w:name w:val="footnote text"/>
    <w:basedOn w:val="Normal"/>
    <w:link w:val="FootnoteTextChar"/>
    <w:uiPriority w:val="99"/>
    <w:unhideWhenUsed/>
    <w:qFormat/>
    <w:rsid w:val="00DB5061"/>
    <w:pPr>
      <w:spacing w:after="0"/>
    </w:pPr>
    <w:rPr>
      <w:szCs w:val="20"/>
    </w:rPr>
  </w:style>
  <w:style w:type="character" w:customStyle="1" w:styleId="FootnoteTextChar">
    <w:name w:val="Footnote Text Char"/>
    <w:basedOn w:val="DefaultParagraphFont"/>
    <w:link w:val="FootnoteText"/>
    <w:uiPriority w:val="99"/>
    <w:rsid w:val="00DB5061"/>
    <w:rPr>
      <w:rFonts w:ascii="Gill Sans Nova Light" w:hAnsi="Gill Sans Nova Light"/>
      <w:szCs w:val="20"/>
    </w:rPr>
  </w:style>
  <w:style w:type="character" w:styleId="FootnoteReference">
    <w:name w:val="footnote reference"/>
    <w:basedOn w:val="DefaultParagraphFont"/>
    <w:uiPriority w:val="99"/>
    <w:semiHidden/>
    <w:unhideWhenUsed/>
    <w:rsid w:val="005D5C98"/>
    <w:rPr>
      <w:vertAlign w:val="superscript"/>
    </w:rPr>
  </w:style>
  <w:style w:type="paragraph" w:styleId="HTMLPreformatted">
    <w:name w:val="HTML Preformatted"/>
    <w:basedOn w:val="Normal"/>
    <w:link w:val="HTMLPreformattedChar"/>
    <w:uiPriority w:val="99"/>
    <w:unhideWhenUsed/>
    <w:rsid w:val="0067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076D"/>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B1632C"/>
    <w:pPr>
      <w:spacing w:after="0"/>
    </w:pPr>
    <w:rPr>
      <w:sz w:val="20"/>
      <w:szCs w:val="20"/>
    </w:rPr>
  </w:style>
  <w:style w:type="character" w:customStyle="1" w:styleId="EndnoteTextChar">
    <w:name w:val="Endnote Text Char"/>
    <w:basedOn w:val="DefaultParagraphFont"/>
    <w:link w:val="EndnoteText"/>
    <w:uiPriority w:val="99"/>
    <w:semiHidden/>
    <w:rsid w:val="00B1632C"/>
    <w:rPr>
      <w:rFonts w:ascii="Gill Sans Nova Light" w:hAnsi="Gill Sans Nova Light"/>
      <w:sz w:val="20"/>
      <w:szCs w:val="20"/>
    </w:rPr>
  </w:style>
  <w:style w:type="character" w:styleId="EndnoteReference">
    <w:name w:val="endnote reference"/>
    <w:basedOn w:val="DefaultParagraphFont"/>
    <w:uiPriority w:val="99"/>
    <w:semiHidden/>
    <w:unhideWhenUsed/>
    <w:rsid w:val="00B1632C"/>
    <w:rPr>
      <w:vertAlign w:val="superscript"/>
    </w:rPr>
  </w:style>
  <w:style w:type="character" w:customStyle="1" w:styleId="cf01">
    <w:name w:val="cf01"/>
    <w:basedOn w:val="DefaultParagraphFont"/>
    <w:rsid w:val="00FD16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84286">
      <w:bodyDiv w:val="1"/>
      <w:marLeft w:val="0"/>
      <w:marRight w:val="0"/>
      <w:marTop w:val="0"/>
      <w:marBottom w:val="0"/>
      <w:divBdr>
        <w:top w:val="none" w:sz="0" w:space="0" w:color="auto"/>
        <w:left w:val="none" w:sz="0" w:space="0" w:color="auto"/>
        <w:bottom w:val="none" w:sz="0" w:space="0" w:color="auto"/>
        <w:right w:val="none" w:sz="0" w:space="0" w:color="auto"/>
      </w:divBdr>
      <w:divsChild>
        <w:div w:id="2038499692">
          <w:marLeft w:val="480"/>
          <w:marRight w:val="0"/>
          <w:marTop w:val="0"/>
          <w:marBottom w:val="0"/>
          <w:divBdr>
            <w:top w:val="none" w:sz="0" w:space="0" w:color="auto"/>
            <w:left w:val="none" w:sz="0" w:space="0" w:color="auto"/>
            <w:bottom w:val="none" w:sz="0" w:space="0" w:color="auto"/>
            <w:right w:val="none" w:sz="0" w:space="0" w:color="auto"/>
          </w:divBdr>
          <w:divsChild>
            <w:div w:id="12939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30">
      <w:bodyDiv w:val="1"/>
      <w:marLeft w:val="0"/>
      <w:marRight w:val="0"/>
      <w:marTop w:val="0"/>
      <w:marBottom w:val="0"/>
      <w:divBdr>
        <w:top w:val="none" w:sz="0" w:space="0" w:color="auto"/>
        <w:left w:val="none" w:sz="0" w:space="0" w:color="auto"/>
        <w:bottom w:val="none" w:sz="0" w:space="0" w:color="auto"/>
        <w:right w:val="none" w:sz="0" w:space="0" w:color="auto"/>
      </w:divBdr>
    </w:div>
    <w:div w:id="859701276">
      <w:bodyDiv w:val="1"/>
      <w:marLeft w:val="0"/>
      <w:marRight w:val="0"/>
      <w:marTop w:val="0"/>
      <w:marBottom w:val="0"/>
      <w:divBdr>
        <w:top w:val="none" w:sz="0" w:space="0" w:color="auto"/>
        <w:left w:val="none" w:sz="0" w:space="0" w:color="auto"/>
        <w:bottom w:val="none" w:sz="0" w:space="0" w:color="auto"/>
        <w:right w:val="none" w:sz="0" w:space="0" w:color="auto"/>
      </w:divBdr>
    </w:div>
    <w:div w:id="1022170340">
      <w:bodyDiv w:val="1"/>
      <w:marLeft w:val="0"/>
      <w:marRight w:val="0"/>
      <w:marTop w:val="0"/>
      <w:marBottom w:val="0"/>
      <w:divBdr>
        <w:top w:val="none" w:sz="0" w:space="0" w:color="auto"/>
        <w:left w:val="none" w:sz="0" w:space="0" w:color="auto"/>
        <w:bottom w:val="none" w:sz="0" w:space="0" w:color="auto"/>
        <w:right w:val="none" w:sz="0" w:space="0" w:color="auto"/>
      </w:divBdr>
      <w:divsChild>
        <w:div w:id="474956476">
          <w:marLeft w:val="0"/>
          <w:marRight w:val="0"/>
          <w:marTop w:val="0"/>
          <w:marBottom w:val="0"/>
          <w:divBdr>
            <w:top w:val="none" w:sz="0" w:space="0" w:color="auto"/>
            <w:left w:val="none" w:sz="0" w:space="0" w:color="auto"/>
            <w:bottom w:val="none" w:sz="0" w:space="0" w:color="auto"/>
            <w:right w:val="none" w:sz="0" w:space="0" w:color="auto"/>
          </w:divBdr>
          <w:divsChild>
            <w:div w:id="1896770301">
              <w:marLeft w:val="0"/>
              <w:marRight w:val="0"/>
              <w:marTop w:val="0"/>
              <w:marBottom w:val="0"/>
              <w:divBdr>
                <w:top w:val="none" w:sz="0" w:space="0" w:color="auto"/>
                <w:left w:val="none" w:sz="0" w:space="0" w:color="auto"/>
                <w:bottom w:val="none" w:sz="0" w:space="0" w:color="auto"/>
                <w:right w:val="none" w:sz="0" w:space="0" w:color="auto"/>
              </w:divBdr>
              <w:divsChild>
                <w:div w:id="1909220889">
                  <w:marLeft w:val="0"/>
                  <w:marRight w:val="0"/>
                  <w:marTop w:val="0"/>
                  <w:marBottom w:val="0"/>
                  <w:divBdr>
                    <w:top w:val="none" w:sz="0" w:space="0" w:color="auto"/>
                    <w:left w:val="none" w:sz="0" w:space="0" w:color="auto"/>
                    <w:bottom w:val="none" w:sz="0" w:space="0" w:color="auto"/>
                    <w:right w:val="none" w:sz="0" w:space="0" w:color="auto"/>
                  </w:divBdr>
                  <w:divsChild>
                    <w:div w:id="1697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5585">
          <w:marLeft w:val="0"/>
          <w:marRight w:val="0"/>
          <w:marTop w:val="0"/>
          <w:marBottom w:val="0"/>
          <w:divBdr>
            <w:top w:val="none" w:sz="0" w:space="0" w:color="auto"/>
            <w:left w:val="none" w:sz="0" w:space="0" w:color="auto"/>
            <w:bottom w:val="none" w:sz="0" w:space="0" w:color="auto"/>
            <w:right w:val="none" w:sz="0" w:space="0" w:color="auto"/>
          </w:divBdr>
          <w:divsChild>
            <w:div w:id="317271042">
              <w:marLeft w:val="0"/>
              <w:marRight w:val="0"/>
              <w:marTop w:val="0"/>
              <w:marBottom w:val="0"/>
              <w:divBdr>
                <w:top w:val="none" w:sz="0" w:space="0" w:color="auto"/>
                <w:left w:val="none" w:sz="0" w:space="0" w:color="auto"/>
                <w:bottom w:val="none" w:sz="0" w:space="0" w:color="auto"/>
                <w:right w:val="none" w:sz="0" w:space="0" w:color="auto"/>
              </w:divBdr>
              <w:divsChild>
                <w:div w:id="1345470846">
                  <w:marLeft w:val="0"/>
                  <w:marRight w:val="0"/>
                  <w:marTop w:val="0"/>
                  <w:marBottom w:val="0"/>
                  <w:divBdr>
                    <w:top w:val="none" w:sz="0" w:space="0" w:color="auto"/>
                    <w:left w:val="none" w:sz="0" w:space="0" w:color="auto"/>
                    <w:bottom w:val="none" w:sz="0" w:space="0" w:color="auto"/>
                    <w:right w:val="none" w:sz="0" w:space="0" w:color="auto"/>
                  </w:divBdr>
                  <w:divsChild>
                    <w:div w:id="2584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5999">
      <w:bodyDiv w:val="1"/>
      <w:marLeft w:val="0"/>
      <w:marRight w:val="0"/>
      <w:marTop w:val="0"/>
      <w:marBottom w:val="0"/>
      <w:divBdr>
        <w:top w:val="none" w:sz="0" w:space="0" w:color="auto"/>
        <w:left w:val="none" w:sz="0" w:space="0" w:color="auto"/>
        <w:bottom w:val="none" w:sz="0" w:space="0" w:color="auto"/>
        <w:right w:val="none" w:sz="0" w:space="0" w:color="auto"/>
      </w:divBdr>
    </w:div>
    <w:div w:id="1755515756">
      <w:bodyDiv w:val="1"/>
      <w:marLeft w:val="0"/>
      <w:marRight w:val="0"/>
      <w:marTop w:val="0"/>
      <w:marBottom w:val="0"/>
      <w:divBdr>
        <w:top w:val="none" w:sz="0" w:space="0" w:color="auto"/>
        <w:left w:val="none" w:sz="0" w:space="0" w:color="auto"/>
        <w:bottom w:val="none" w:sz="0" w:space="0" w:color="auto"/>
        <w:right w:val="none" w:sz="0" w:space="0" w:color="auto"/>
      </w:divBdr>
    </w:div>
    <w:div w:id="2013532839">
      <w:bodyDiv w:val="1"/>
      <w:marLeft w:val="0"/>
      <w:marRight w:val="0"/>
      <w:marTop w:val="0"/>
      <w:marBottom w:val="0"/>
      <w:divBdr>
        <w:top w:val="none" w:sz="0" w:space="0" w:color="auto"/>
        <w:left w:val="none" w:sz="0" w:space="0" w:color="auto"/>
        <w:bottom w:val="none" w:sz="0" w:space="0" w:color="auto"/>
        <w:right w:val="none" w:sz="0" w:space="0" w:color="auto"/>
      </w:divBdr>
      <w:divsChild>
        <w:div w:id="1895845443">
          <w:marLeft w:val="0"/>
          <w:marRight w:val="0"/>
          <w:marTop w:val="0"/>
          <w:marBottom w:val="0"/>
          <w:divBdr>
            <w:top w:val="none" w:sz="0" w:space="0" w:color="auto"/>
            <w:left w:val="none" w:sz="0" w:space="0" w:color="auto"/>
            <w:bottom w:val="none" w:sz="0" w:space="0" w:color="auto"/>
            <w:right w:val="none" w:sz="0" w:space="0" w:color="auto"/>
          </w:divBdr>
          <w:divsChild>
            <w:div w:id="1077241736">
              <w:marLeft w:val="0"/>
              <w:marRight w:val="0"/>
              <w:marTop w:val="0"/>
              <w:marBottom w:val="0"/>
              <w:divBdr>
                <w:top w:val="none" w:sz="0" w:space="0" w:color="auto"/>
                <w:left w:val="none" w:sz="0" w:space="0" w:color="auto"/>
                <w:bottom w:val="none" w:sz="0" w:space="0" w:color="auto"/>
                <w:right w:val="none" w:sz="0" w:space="0" w:color="auto"/>
              </w:divBdr>
              <w:divsChild>
                <w:div w:id="1743748063">
                  <w:marLeft w:val="0"/>
                  <w:marRight w:val="0"/>
                  <w:marTop w:val="0"/>
                  <w:marBottom w:val="0"/>
                  <w:divBdr>
                    <w:top w:val="none" w:sz="0" w:space="0" w:color="auto"/>
                    <w:left w:val="none" w:sz="0" w:space="0" w:color="auto"/>
                    <w:bottom w:val="none" w:sz="0" w:space="0" w:color="auto"/>
                    <w:right w:val="none" w:sz="0" w:space="0" w:color="auto"/>
                  </w:divBdr>
                  <w:divsChild>
                    <w:div w:id="4593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5203">
          <w:marLeft w:val="0"/>
          <w:marRight w:val="0"/>
          <w:marTop w:val="0"/>
          <w:marBottom w:val="0"/>
          <w:divBdr>
            <w:top w:val="none" w:sz="0" w:space="0" w:color="auto"/>
            <w:left w:val="none" w:sz="0" w:space="0" w:color="auto"/>
            <w:bottom w:val="none" w:sz="0" w:space="0" w:color="auto"/>
            <w:right w:val="none" w:sz="0" w:space="0" w:color="auto"/>
          </w:divBdr>
          <w:divsChild>
            <w:div w:id="1111894746">
              <w:marLeft w:val="0"/>
              <w:marRight w:val="0"/>
              <w:marTop w:val="0"/>
              <w:marBottom w:val="0"/>
              <w:divBdr>
                <w:top w:val="none" w:sz="0" w:space="0" w:color="auto"/>
                <w:left w:val="none" w:sz="0" w:space="0" w:color="auto"/>
                <w:bottom w:val="none" w:sz="0" w:space="0" w:color="auto"/>
                <w:right w:val="none" w:sz="0" w:space="0" w:color="auto"/>
              </w:divBdr>
              <w:divsChild>
                <w:div w:id="1248465366">
                  <w:marLeft w:val="0"/>
                  <w:marRight w:val="0"/>
                  <w:marTop w:val="0"/>
                  <w:marBottom w:val="0"/>
                  <w:divBdr>
                    <w:top w:val="none" w:sz="0" w:space="0" w:color="auto"/>
                    <w:left w:val="none" w:sz="0" w:space="0" w:color="auto"/>
                    <w:bottom w:val="none" w:sz="0" w:space="0" w:color="auto"/>
                    <w:right w:val="none" w:sz="0" w:space="0" w:color="auto"/>
                  </w:divBdr>
                  <w:divsChild>
                    <w:div w:id="139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reakthroughactionandresearch.org/resources/itn-use-and-access-report/cote-divoire/" TargetMode="External"/><Relationship Id="rId7" Type="http://schemas.openxmlformats.org/officeDocument/2006/relationships/hyperlink" Target="https://www.durabilitymonitoring.org/?page_id=10" TargetMode="External"/><Relationship Id="rId2" Type="http://schemas.openxmlformats.org/officeDocument/2006/relationships/hyperlink" Target="https://doi.org/10.4269/ajtmh.19-0249" TargetMode="External"/><Relationship Id="rId1" Type="http://schemas.openxmlformats.org/officeDocument/2006/relationships/hyperlink" Target="http://www.durabilitymonitoring.org" TargetMode="External"/><Relationship Id="rId6" Type="http://schemas.openxmlformats.org/officeDocument/2006/relationships/hyperlink" Target="https://view.officeapps.live.com/op/view.aspx?src=https%3A%2F%2Fwww.durabilitymonitoring.org%2Fwp-content%2Fuploads%2F2024%2F05%2FPMI-VectorLink-Sierra-Leone-36-Month-DM-Snapshot-with-Bioassays-and-Chemical-Results-clean.docx&amp;wdOrigin=BROWSELINK" TargetMode="External"/><Relationship Id="rId5" Type="http://schemas.openxmlformats.org/officeDocument/2006/relationships/hyperlink" Target="https://view.officeapps.live.com/op/view.aspx?src=https%3A%2F%2Fwww.durabilitymonitoring.org%2Fwp-content%2Fuploads%2F2024%2F02%2FPMI-Evolve-Rwanda-36M-ITN-DM-Report-APPROVED.docx&amp;wdOrigin=BROWSELINK" TargetMode="External"/><Relationship Id="rId4" Type="http://schemas.openxmlformats.org/officeDocument/2006/relationships/hyperlink" Target="https://www.dhsprogram.com/pubs/pdf/FR385/FR385.pdf"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s://psiorg.sharepoint.com/sites/Evolve/Shared%20Documents/2.%20Technical%20Resources/ITN%20Durability%20Monitoring/Cote%20d'Ivoire/Analysis/m36/logs/CDI_m36_result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824"/>
          <c:y val="2.8306999999999999E-2"/>
          <c:w val="0.58577400836571192"/>
          <c:h val="0.84929699999999997"/>
        </c:manualLayout>
      </c:layout>
      <c:scatterChart>
        <c:scatterStyle val="smoothMarker"/>
        <c:varyColors val="0"/>
        <c:ser>
          <c:idx val="0"/>
          <c:order val="0"/>
          <c:tx>
            <c:strRef>
              <c:f>'svf (with all curves)'!$B$105</c:f>
              <c:strCache>
                <c:ptCount val="1"/>
                <c:pt idx="0">
                  <c:v>1-year</c:v>
                </c:pt>
              </c:strCache>
            </c:strRef>
          </c:tx>
          <c:spPr>
            <a:prstGeom prst="rect">
              <a:avLst/>
            </a:prstGeom>
            <a:ln w="12700">
              <a:solidFill>
                <a:schemeClr val="tx2">
                  <a:lumMod val="20000"/>
                  <a:lumOff val="80000"/>
                </a:schemeClr>
              </a:solidFill>
            </a:ln>
          </c:spPr>
          <c:marker>
            <c:symbol val="none"/>
          </c:marker>
          <c:xVal>
            <c:numRef>
              <c:f>'svf (with all curves)'!$C$103:$K$103</c:f>
              <c:numCache>
                <c:formatCode>General</c:formatCode>
                <c:ptCount val="9"/>
                <c:pt idx="0">
                  <c:v>0</c:v>
                </c:pt>
                <c:pt idx="1">
                  <c:v>1</c:v>
                </c:pt>
                <c:pt idx="2">
                  <c:v>2</c:v>
                </c:pt>
                <c:pt idx="3">
                  <c:v>3</c:v>
                </c:pt>
                <c:pt idx="4">
                  <c:v>4</c:v>
                </c:pt>
                <c:pt idx="5">
                  <c:v>5</c:v>
                </c:pt>
                <c:pt idx="6">
                  <c:v>6</c:v>
                </c:pt>
                <c:pt idx="7">
                  <c:v>7</c:v>
                </c:pt>
                <c:pt idx="8">
                  <c:v>8</c:v>
                </c:pt>
              </c:numCache>
            </c:numRef>
          </c:xVal>
          <c:yVal>
            <c:numRef>
              <c:f>'svf (with all curves)'!$C$122:$F$122</c:f>
              <c:numCache>
                <c:formatCode>#,##0</c:formatCode>
                <c:ptCount val="4"/>
                <c:pt idx="0">
                  <c:v>100</c:v>
                </c:pt>
                <c:pt idx="1">
                  <c:v>50.02749069608722</c:v>
                </c:pt>
                <c:pt idx="2">
                  <c:v>4.0121308672969747</c:v>
                </c:pt>
                <c:pt idx="3">
                  <c:v>5.095302780837585E-3</c:v>
                </c:pt>
              </c:numCache>
            </c:numRef>
          </c:yVal>
          <c:smooth val="1"/>
          <c:extLst>
            <c:ext xmlns:c16="http://schemas.microsoft.com/office/drawing/2014/chart" uri="{C3380CC4-5D6E-409C-BE32-E72D297353CC}">
              <c16:uniqueId val="{00000000-E681-4B6C-A9B9-71BA6B5063F4}"/>
            </c:ext>
          </c:extLst>
        </c:ser>
        <c:ser>
          <c:idx val="1"/>
          <c:order val="1"/>
          <c:tx>
            <c:strRef>
              <c:f>'svf (with all curves)'!$B$107</c:f>
              <c:strCache>
                <c:ptCount val="1"/>
                <c:pt idx="0">
                  <c:v>2-year</c:v>
                </c:pt>
              </c:strCache>
            </c:strRef>
          </c:tx>
          <c:spPr>
            <a:prstGeom prst="rect">
              <a:avLst/>
            </a:prstGeom>
            <a:ln w="12700">
              <a:solidFill>
                <a:schemeClr val="accent2">
                  <a:lumMod val="60000"/>
                  <a:lumOff val="40000"/>
                </a:schemeClr>
              </a:solidFill>
            </a:ln>
          </c:spPr>
          <c:marker>
            <c:symbol val="none"/>
          </c:marker>
          <c:xVal>
            <c:numRef>
              <c:f>'svf (with all curves)'!$C$103:$K$103</c:f>
              <c:numCache>
                <c:formatCode>General</c:formatCode>
                <c:ptCount val="9"/>
                <c:pt idx="0">
                  <c:v>0</c:v>
                </c:pt>
                <c:pt idx="1">
                  <c:v>1</c:v>
                </c:pt>
                <c:pt idx="2">
                  <c:v>2</c:v>
                </c:pt>
                <c:pt idx="3">
                  <c:v>3</c:v>
                </c:pt>
                <c:pt idx="4">
                  <c:v>4</c:v>
                </c:pt>
                <c:pt idx="5">
                  <c:v>5</c:v>
                </c:pt>
                <c:pt idx="6">
                  <c:v>6</c:v>
                </c:pt>
                <c:pt idx="7">
                  <c:v>7</c:v>
                </c:pt>
                <c:pt idx="8">
                  <c:v>8</c:v>
                </c:pt>
              </c:numCache>
            </c:numRef>
          </c:xVal>
          <c:yVal>
            <c:numRef>
              <c:f>'svf (with all curves)'!$C$124:$H$124</c:f>
              <c:numCache>
                <c:formatCode>#,##0</c:formatCode>
                <c:ptCount val="6"/>
                <c:pt idx="0">
                  <c:v>100</c:v>
                </c:pt>
                <c:pt idx="1">
                  <c:v>84.50578703487534</c:v>
                </c:pt>
                <c:pt idx="2">
                  <c:v>49.889987837963183</c:v>
                </c:pt>
                <c:pt idx="3">
                  <c:v>19.120449586444913</c:v>
                </c:pt>
                <c:pt idx="4">
                  <c:v>4.0827443062546074</c:v>
                </c:pt>
                <c:pt idx="5">
                  <c:v>0.35863129752394007</c:v>
                </c:pt>
              </c:numCache>
            </c:numRef>
          </c:yVal>
          <c:smooth val="1"/>
          <c:extLst>
            <c:ext xmlns:c16="http://schemas.microsoft.com/office/drawing/2014/chart" uri="{C3380CC4-5D6E-409C-BE32-E72D297353CC}">
              <c16:uniqueId val="{00000001-E681-4B6C-A9B9-71BA6B5063F4}"/>
            </c:ext>
          </c:extLst>
        </c:ser>
        <c:ser>
          <c:idx val="2"/>
          <c:order val="2"/>
          <c:tx>
            <c:strRef>
              <c:f>'svf (with all curves)'!$B$109</c:f>
              <c:strCache>
                <c:ptCount val="1"/>
                <c:pt idx="0">
                  <c:v>3-year</c:v>
                </c:pt>
              </c:strCache>
            </c:strRef>
          </c:tx>
          <c:spPr>
            <a:prstGeom prst="rect">
              <a:avLst/>
            </a:prstGeom>
            <a:ln w="12700">
              <a:solidFill>
                <a:schemeClr val="accent3">
                  <a:lumMod val="60000"/>
                  <a:lumOff val="40000"/>
                </a:schemeClr>
              </a:solidFill>
              <a:round/>
            </a:ln>
          </c:spPr>
          <c:marker>
            <c:symbol val="none"/>
          </c:marker>
          <c:xVal>
            <c:numRef>
              <c:f>'svf (with all curves)'!$C$103:$K$103</c:f>
              <c:numCache>
                <c:formatCode>General</c:formatCode>
                <c:ptCount val="9"/>
                <c:pt idx="0">
                  <c:v>0</c:v>
                </c:pt>
                <c:pt idx="1">
                  <c:v>1</c:v>
                </c:pt>
                <c:pt idx="2">
                  <c:v>2</c:v>
                </c:pt>
                <c:pt idx="3">
                  <c:v>3</c:v>
                </c:pt>
                <c:pt idx="4">
                  <c:v>4</c:v>
                </c:pt>
                <c:pt idx="5">
                  <c:v>5</c:v>
                </c:pt>
                <c:pt idx="6">
                  <c:v>6</c:v>
                </c:pt>
                <c:pt idx="7">
                  <c:v>7</c:v>
                </c:pt>
                <c:pt idx="8">
                  <c:v>8</c:v>
                </c:pt>
              </c:numCache>
            </c:numRef>
          </c:xVal>
          <c:yVal>
            <c:numRef>
              <c:f>'svf (with all curves)'!$C$126:$N$126</c:f>
              <c:numCache>
                <c:formatCode>#,##0</c:formatCode>
                <c:ptCount val="12"/>
                <c:pt idx="0">
                  <c:v>100</c:v>
                </c:pt>
                <c:pt idx="1">
                  <c:v>92.784872728588979</c:v>
                </c:pt>
                <c:pt idx="2">
                  <c:v>73.818716392513906</c:v>
                </c:pt>
                <c:pt idx="3">
                  <c:v>49.728188654441475</c:v>
                </c:pt>
                <c:pt idx="4">
                  <c:v>27.721598399167124</c:v>
                </c:pt>
                <c:pt idx="5">
                  <c:v>12.325585878814326</c:v>
                </c:pt>
                <c:pt idx="6">
                  <c:v>4.1281781880890271</c:v>
                </c:pt>
                <c:pt idx="7">
                  <c:v>0.95294209869698543</c:v>
                </c:pt>
                <c:pt idx="8">
                  <c:v>0.13152324709170315</c:v>
                </c:pt>
                <c:pt idx="9">
                  <c:v>8.5524322598788949E-3</c:v>
                </c:pt>
                <c:pt idx="10">
                  <c:v>1.7079572648448504E-4</c:v>
                </c:pt>
                <c:pt idx="11">
                  <c:v>4.4851109537447087E-7</c:v>
                </c:pt>
              </c:numCache>
            </c:numRef>
          </c:yVal>
          <c:smooth val="1"/>
          <c:extLst>
            <c:ext xmlns:c16="http://schemas.microsoft.com/office/drawing/2014/chart" uri="{C3380CC4-5D6E-409C-BE32-E72D297353CC}">
              <c16:uniqueId val="{00000002-E681-4B6C-A9B9-71BA6B5063F4}"/>
            </c:ext>
          </c:extLst>
        </c:ser>
        <c:ser>
          <c:idx val="3"/>
          <c:order val="3"/>
          <c:tx>
            <c:strRef>
              <c:f>'svf (with all curves)'!$B$111</c:f>
              <c:strCache>
                <c:ptCount val="1"/>
                <c:pt idx="0">
                  <c:v>4-year</c:v>
                </c:pt>
              </c:strCache>
            </c:strRef>
          </c:tx>
          <c:spPr>
            <a:prstGeom prst="rect">
              <a:avLst/>
            </a:prstGeom>
            <a:ln w="12700">
              <a:solidFill>
                <a:schemeClr val="accent4">
                  <a:lumMod val="40000"/>
                  <a:lumOff val="60000"/>
                </a:schemeClr>
              </a:solidFill>
              <a:miter/>
            </a:ln>
          </c:spPr>
          <c:marker>
            <c:symbol val="none"/>
          </c:marker>
          <c:xVal>
            <c:numRef>
              <c:f>'svf (with all curves)'!$C$103:$M$103</c:f>
              <c:numCache>
                <c:formatCode>General</c:formatCode>
                <c:ptCount val="11"/>
                <c:pt idx="0">
                  <c:v>0</c:v>
                </c:pt>
                <c:pt idx="1">
                  <c:v>1</c:v>
                </c:pt>
                <c:pt idx="2">
                  <c:v>2</c:v>
                </c:pt>
                <c:pt idx="3">
                  <c:v>3</c:v>
                </c:pt>
                <c:pt idx="4">
                  <c:v>4</c:v>
                </c:pt>
                <c:pt idx="5">
                  <c:v>5</c:v>
                </c:pt>
                <c:pt idx="6">
                  <c:v>6</c:v>
                </c:pt>
                <c:pt idx="7">
                  <c:v>7</c:v>
                </c:pt>
                <c:pt idx="8">
                  <c:v>8</c:v>
                </c:pt>
                <c:pt idx="9">
                  <c:v>9</c:v>
                </c:pt>
                <c:pt idx="10" formatCode="#,##0">
                  <c:v>10</c:v>
                </c:pt>
              </c:numCache>
            </c:numRef>
          </c:xVal>
          <c:yVal>
            <c:numRef>
              <c:f>'svf (with all curves)'!$C$128:$O$128</c:f>
              <c:numCache>
                <c:formatCode>#,##0</c:formatCode>
                <c:ptCount val="13"/>
                <c:pt idx="0">
                  <c:v>100</c:v>
                </c:pt>
                <c:pt idx="1">
                  <c:v>95.876790789273798</c:v>
                </c:pt>
                <c:pt idx="2">
                  <c:v>84.398943429735652</c:v>
                </c:pt>
                <c:pt idx="3">
                  <c:v>67.964598784516568</c:v>
                </c:pt>
                <c:pt idx="4">
                  <c:v>49.748058701909414</c:v>
                </c:pt>
                <c:pt idx="5">
                  <c:v>32.782699121313108</c:v>
                </c:pt>
                <c:pt idx="6">
                  <c:v>19.185843864000198</c:v>
                </c:pt>
                <c:pt idx="7">
                  <c:v>9.7864450596160015</c:v>
                </c:pt>
                <c:pt idx="8">
                  <c:v>4.2401118507896527</c:v>
                </c:pt>
                <c:pt idx="9">
                  <c:v>1.505862750628618</c:v>
                </c:pt>
                <c:pt idx="10">
                  <c:v>0.41709190904817373</c:v>
                </c:pt>
                <c:pt idx="11">
                  <c:v>8.3911971341355862E-2</c:v>
                </c:pt>
                <c:pt idx="12">
                  <c:v>1.104397085527431E-2</c:v>
                </c:pt>
              </c:numCache>
            </c:numRef>
          </c:yVal>
          <c:smooth val="1"/>
          <c:extLst>
            <c:ext xmlns:c16="http://schemas.microsoft.com/office/drawing/2014/chart" uri="{C3380CC4-5D6E-409C-BE32-E72D297353CC}">
              <c16:uniqueId val="{00000003-E681-4B6C-A9B9-71BA6B5063F4}"/>
            </c:ext>
          </c:extLst>
        </c:ser>
        <c:dLbls>
          <c:showLegendKey val="0"/>
          <c:showVal val="0"/>
          <c:showCatName val="0"/>
          <c:showSerName val="0"/>
          <c:showPercent val="0"/>
          <c:showBubbleSize val="0"/>
        </c:dLbls>
        <c:axId val="650315176"/>
        <c:axId val="650325368"/>
      </c:scatterChart>
      <c:scatterChart>
        <c:scatterStyle val="smoothMarker"/>
        <c:varyColors val="0"/>
        <c:ser>
          <c:idx val="5"/>
          <c:order val="4"/>
          <c:tx>
            <c:strRef>
              <c:f>'svf (with all curves)'!$B$113</c:f>
              <c:strCache>
                <c:ptCount val="1"/>
                <c:pt idx="0">
                  <c:v>5-year</c:v>
                </c:pt>
              </c:strCache>
            </c:strRef>
          </c:tx>
          <c:spPr>
            <a:ln w="12700">
              <a:round/>
            </a:ln>
          </c:spPr>
          <c:marker>
            <c:symbol val="none"/>
          </c:marker>
          <c:xVal>
            <c:numRef>
              <c:f>'svf (with all curves)'!$C$103:$M$103</c:f>
              <c:numCache>
                <c:formatCode>General</c:formatCode>
                <c:ptCount val="11"/>
                <c:pt idx="0">
                  <c:v>0</c:v>
                </c:pt>
                <c:pt idx="1">
                  <c:v>1</c:v>
                </c:pt>
                <c:pt idx="2">
                  <c:v>2</c:v>
                </c:pt>
                <c:pt idx="3">
                  <c:v>3</c:v>
                </c:pt>
                <c:pt idx="4">
                  <c:v>4</c:v>
                </c:pt>
                <c:pt idx="5">
                  <c:v>5</c:v>
                </c:pt>
                <c:pt idx="6">
                  <c:v>6</c:v>
                </c:pt>
                <c:pt idx="7">
                  <c:v>7</c:v>
                </c:pt>
                <c:pt idx="8">
                  <c:v>8</c:v>
                </c:pt>
                <c:pt idx="9">
                  <c:v>9</c:v>
                </c:pt>
                <c:pt idx="10" formatCode="#,##0">
                  <c:v>10</c:v>
                </c:pt>
              </c:numCache>
            </c:numRef>
          </c:xVal>
          <c:yVal>
            <c:numRef>
              <c:f>'svf (with all curves)'!$C$130:$R$130</c:f>
              <c:numCache>
                <c:formatCode>#,##0</c:formatCode>
                <c:ptCount val="16"/>
                <c:pt idx="0">
                  <c:v>100</c:v>
                </c:pt>
                <c:pt idx="1">
                  <c:v>97.326928838885649</c:v>
                </c:pt>
                <c:pt idx="2">
                  <c:v>89.687073323423078</c:v>
                </c:pt>
                <c:pt idx="3">
                  <c:v>78.140299576020283</c:v>
                </c:pt>
                <c:pt idx="4">
                  <c:v>64.21153942992801</c:v>
                </c:pt>
                <c:pt idx="5">
                  <c:v>49.590752178997221</c:v>
                </c:pt>
                <c:pt idx="6">
                  <c:v>35.820793003530312</c:v>
                </c:pt>
                <c:pt idx="7">
                  <c:v>24.046474673798354</c:v>
                </c:pt>
                <c:pt idx="8">
                  <c:v>14.879145900604371</c:v>
                </c:pt>
                <c:pt idx="9">
                  <c:v>8.3972695925126999</c:v>
                </c:pt>
                <c:pt idx="10">
                  <c:v>4.2645392918456135</c:v>
                </c:pt>
                <c:pt idx="11">
                  <c:v>1.915351906209227</c:v>
                </c:pt>
                <c:pt idx="12">
                  <c:v>0.74389170057318355</c:v>
                </c:pt>
                <c:pt idx="13">
                  <c:v>0.2425868026261977</c:v>
                </c:pt>
                <c:pt idx="14">
                  <c:v>6.3871680740766656E-2</c:v>
                </c:pt>
                <c:pt idx="15">
                  <c:v>1.2875883388606457E-2</c:v>
                </c:pt>
              </c:numCache>
            </c:numRef>
          </c:yVal>
          <c:smooth val="1"/>
          <c:extLst>
            <c:ext xmlns:c16="http://schemas.microsoft.com/office/drawing/2014/chart" uri="{C3380CC4-5D6E-409C-BE32-E72D297353CC}">
              <c16:uniqueId val="{00000004-E681-4B6C-A9B9-71BA6B5063F4}"/>
            </c:ext>
          </c:extLst>
        </c:ser>
        <c:ser>
          <c:idx val="6"/>
          <c:order val="5"/>
          <c:tx>
            <c:strRef>
              <c:f>'svf (with all curves)'!$B$132</c:f>
              <c:strCache>
                <c:ptCount val="1"/>
                <c:pt idx="0">
                  <c:v>6-year</c:v>
                </c:pt>
              </c:strCache>
            </c:strRef>
          </c:tx>
          <c:spPr>
            <a:ln w="12700"/>
          </c:spPr>
          <c:marker>
            <c:symbol val="none"/>
          </c:marker>
          <c:xVal>
            <c:numRef>
              <c:f>'svf (with all curves)'!$C$103:$M$103</c:f>
              <c:numCache>
                <c:formatCode>General</c:formatCode>
                <c:ptCount val="11"/>
                <c:pt idx="0">
                  <c:v>0</c:v>
                </c:pt>
                <c:pt idx="1">
                  <c:v>1</c:v>
                </c:pt>
                <c:pt idx="2">
                  <c:v>2</c:v>
                </c:pt>
                <c:pt idx="3">
                  <c:v>3</c:v>
                </c:pt>
                <c:pt idx="4">
                  <c:v>4</c:v>
                </c:pt>
                <c:pt idx="5">
                  <c:v>5</c:v>
                </c:pt>
                <c:pt idx="6">
                  <c:v>6</c:v>
                </c:pt>
                <c:pt idx="7">
                  <c:v>7</c:v>
                </c:pt>
                <c:pt idx="8">
                  <c:v>8</c:v>
                </c:pt>
                <c:pt idx="9">
                  <c:v>9</c:v>
                </c:pt>
                <c:pt idx="10" formatCode="#,##0">
                  <c:v>10</c:v>
                </c:pt>
              </c:numCache>
            </c:numRef>
          </c:xVal>
          <c:yVal>
            <c:numRef>
              <c:f>'svf (with all curves)'!$C$132:$S$132</c:f>
              <c:numCache>
                <c:formatCode>#,##0</c:formatCode>
                <c:ptCount val="17"/>
                <c:pt idx="0">
                  <c:v>100</c:v>
                </c:pt>
                <c:pt idx="1">
                  <c:v>98.167100322694495</c:v>
                </c:pt>
                <c:pt idx="2">
                  <c:v>92.850143666330865</c:v>
                </c:pt>
                <c:pt idx="3">
                  <c:v>84.56759355893864</c:v>
                </c:pt>
                <c:pt idx="4">
                  <c:v>74.099173472722555</c:v>
                </c:pt>
                <c:pt idx="5">
                  <c:v>62.375244232693035</c:v>
                </c:pt>
                <c:pt idx="6">
                  <c:v>50.350590244875846</c:v>
                </c:pt>
                <c:pt idx="7">
                  <c:v>38.884350648792918</c:v>
                </c:pt>
                <c:pt idx="8">
                  <c:v>28.645710302845636</c:v>
                </c:pt>
                <c:pt idx="9">
                  <c:v>20.059027740303922</c:v>
                </c:pt>
                <c:pt idx="10">
                  <c:v>13.293622114924716</c:v>
                </c:pt>
                <c:pt idx="11">
                  <c:v>8.2943509538671218</c:v>
                </c:pt>
                <c:pt idx="12">
                  <c:v>4.8414448395134837</c:v>
                </c:pt>
                <c:pt idx="13">
                  <c:v>2.6235640323760991</c:v>
                </c:pt>
                <c:pt idx="14">
                  <c:v>1.3076515206219743</c:v>
                </c:pt>
                <c:pt idx="15">
                  <c:v>0.59271894771946965</c:v>
                </c:pt>
                <c:pt idx="16">
                  <c:v>0.24094301814648578</c:v>
                </c:pt>
              </c:numCache>
            </c:numRef>
          </c:yVal>
          <c:smooth val="1"/>
          <c:extLst>
            <c:ext xmlns:c16="http://schemas.microsoft.com/office/drawing/2014/chart" uri="{C3380CC4-5D6E-409C-BE32-E72D297353CC}">
              <c16:uniqueId val="{00000005-E681-4B6C-A9B9-71BA6B5063F4}"/>
            </c:ext>
          </c:extLst>
        </c:ser>
        <c:ser>
          <c:idx val="8"/>
          <c:order val="6"/>
          <c:tx>
            <c:strRef>
              <c:f>'svf (with all curves)'!$B$134</c:f>
              <c:strCache>
                <c:ptCount val="1"/>
                <c:pt idx="0">
                  <c:v>7-year</c:v>
                </c:pt>
              </c:strCache>
            </c:strRef>
          </c:tx>
          <c:spPr>
            <a:ln w="12700"/>
          </c:spPr>
          <c:marker>
            <c:symbol val="none"/>
          </c:marker>
          <c:xVal>
            <c:numRef>
              <c:f>'svf (with all curves)'!$C$103:$M$103</c:f>
              <c:numCache>
                <c:formatCode>General</c:formatCode>
                <c:ptCount val="11"/>
                <c:pt idx="0">
                  <c:v>0</c:v>
                </c:pt>
                <c:pt idx="1">
                  <c:v>1</c:v>
                </c:pt>
                <c:pt idx="2">
                  <c:v>2</c:v>
                </c:pt>
                <c:pt idx="3">
                  <c:v>3</c:v>
                </c:pt>
                <c:pt idx="4">
                  <c:v>4</c:v>
                </c:pt>
                <c:pt idx="5">
                  <c:v>5</c:v>
                </c:pt>
                <c:pt idx="6">
                  <c:v>6</c:v>
                </c:pt>
                <c:pt idx="7">
                  <c:v>7</c:v>
                </c:pt>
                <c:pt idx="8">
                  <c:v>8</c:v>
                </c:pt>
                <c:pt idx="9">
                  <c:v>9</c:v>
                </c:pt>
                <c:pt idx="10" formatCode="#,##0">
                  <c:v>10</c:v>
                </c:pt>
              </c:numCache>
            </c:numRef>
          </c:xVal>
          <c:yVal>
            <c:numRef>
              <c:f>'svf (with all curves)'!$C$134:$S$134</c:f>
              <c:numCache>
                <c:formatCode>#,##0</c:formatCode>
                <c:ptCount val="17"/>
                <c:pt idx="0">
                  <c:v>100</c:v>
                </c:pt>
                <c:pt idx="1">
                  <c:v>98.647908063308407</c:v>
                </c:pt>
                <c:pt idx="2">
                  <c:v>94.69154662674886</c:v>
                </c:pt>
                <c:pt idx="3">
                  <c:v>88.419564489518351</c:v>
                </c:pt>
                <c:pt idx="4">
                  <c:v>80.277593899365669</c:v>
                </c:pt>
                <c:pt idx="5">
                  <c:v>70.820202712877688</c:v>
                </c:pt>
                <c:pt idx="6">
                  <c:v>60.653065971263352</c:v>
                </c:pt>
                <c:pt idx="7">
                  <c:v>50.373029368896283</c:v>
                </c:pt>
                <c:pt idx="8">
                  <c:v>40.51372372916039</c:v>
                </c:pt>
                <c:pt idx="9">
                  <c:v>31.503226592202992</c:v>
                </c:pt>
                <c:pt idx="10">
                  <c:v>23.638163270365542</c:v>
                </c:pt>
                <c:pt idx="11">
                  <c:v>17.075961386071093</c:v>
                </c:pt>
                <c:pt idx="12">
                  <c:v>11.844182901380385</c:v>
                </c:pt>
                <c:pt idx="13">
                  <c:v>7.8634345568872845</c:v>
                </c:pt>
                <c:pt idx="14">
                  <c:v>4.978706836786408</c:v>
                </c:pt>
                <c:pt idx="15">
                  <c:v>2.9933652499726477</c:v>
                </c:pt>
                <c:pt idx="16">
                  <c:v>1.7004614050292095</c:v>
                </c:pt>
              </c:numCache>
            </c:numRef>
          </c:yVal>
          <c:smooth val="1"/>
          <c:extLst>
            <c:ext xmlns:c16="http://schemas.microsoft.com/office/drawing/2014/chart" uri="{C3380CC4-5D6E-409C-BE32-E72D297353CC}">
              <c16:uniqueId val="{00000006-E681-4B6C-A9B9-71BA6B5063F4}"/>
            </c:ext>
          </c:extLst>
        </c:ser>
        <c:ser>
          <c:idx val="14"/>
          <c:order val="7"/>
          <c:tx>
            <c:strRef>
              <c:f>'svf (with all curves)'!$L$3</c:f>
              <c:strCache>
                <c:ptCount val="1"/>
                <c:pt idx="0">
                  <c:v>Abengourou (PermaNet® 3.0)</c:v>
                </c:pt>
              </c:strCache>
            </c:strRef>
          </c:tx>
          <c:spPr>
            <a:prstGeom prst="rect">
              <a:avLst/>
            </a:prstGeom>
            <a:ln w="12700">
              <a:solidFill>
                <a:srgbClr val="A5A5A5">
                  <a:lumMod val="50000"/>
                </a:srgbClr>
              </a:solidFill>
            </a:ln>
          </c:spPr>
          <c:marker>
            <c:symbol val="triangle"/>
            <c:size val="6"/>
            <c:spPr>
              <a:prstGeom prst="rect">
                <a:avLst/>
              </a:prstGeom>
              <a:solidFill>
                <a:schemeClr val="accent3">
                  <a:lumMod val="50000"/>
                </a:schemeClr>
              </a:solidFill>
              <a:ln>
                <a:solidFill>
                  <a:schemeClr val="accent3">
                    <a:lumMod val="50000"/>
                  </a:schemeClr>
                </a:solidFill>
              </a:ln>
            </c:spPr>
          </c:marker>
          <c:dPt>
            <c:idx val="1"/>
            <c:bubble3D val="0"/>
            <c:spPr>
              <a:prstGeom prst="rect">
                <a:avLst/>
              </a:prstGeom>
              <a:ln w="12700">
                <a:solidFill>
                  <a:srgbClr val="4F6228"/>
                </a:solidFill>
              </a:ln>
            </c:spPr>
            <c:extLst>
              <c:ext xmlns:c16="http://schemas.microsoft.com/office/drawing/2014/chart" uri="{C3380CC4-5D6E-409C-BE32-E72D297353CC}">
                <c16:uniqueId val="{00000008-E681-4B6C-A9B9-71BA6B5063F4}"/>
              </c:ext>
            </c:extLst>
          </c:dPt>
          <c:dPt>
            <c:idx val="2"/>
            <c:bubble3D val="0"/>
            <c:spPr>
              <a:prstGeom prst="rect">
                <a:avLst/>
              </a:prstGeom>
              <a:ln w="12700">
                <a:solidFill>
                  <a:srgbClr val="4F6228"/>
                </a:solidFill>
              </a:ln>
            </c:spPr>
            <c:extLst>
              <c:ext xmlns:c16="http://schemas.microsoft.com/office/drawing/2014/chart" uri="{C3380CC4-5D6E-409C-BE32-E72D297353CC}">
                <c16:uniqueId val="{0000000A-E681-4B6C-A9B9-71BA6B5063F4}"/>
              </c:ext>
            </c:extLst>
          </c:dPt>
          <c:errBars>
            <c:errDir val="y"/>
            <c:errBarType val="both"/>
            <c:errValType val="cust"/>
            <c:noEndCap val="0"/>
            <c:plus>
              <c:numRef>
                <c:f>'svf (with all curves)'!$O$32:$O$36</c:f>
                <c:numCache>
                  <c:formatCode>General</c:formatCode>
                  <c:ptCount val="5"/>
                  <c:pt idx="0">
                    <c:v>0</c:v>
                  </c:pt>
                  <c:pt idx="1">
                    <c:v>0.29999999999999716</c:v>
                  </c:pt>
                  <c:pt idx="2">
                    <c:v>2.0000000000000142</c:v>
                  </c:pt>
                  <c:pt idx="3">
                    <c:v>4.0999999999999943</c:v>
                  </c:pt>
                  <c:pt idx="4">
                    <c:v>5.5</c:v>
                  </c:pt>
                </c:numCache>
              </c:numRef>
            </c:plus>
            <c:minus>
              <c:numRef>
                <c:f>'svf (with all curves)'!$N$32:$N$36</c:f>
                <c:numCache>
                  <c:formatCode>General</c:formatCode>
                  <c:ptCount val="5"/>
                  <c:pt idx="0">
                    <c:v>0</c:v>
                  </c:pt>
                  <c:pt idx="1">
                    <c:v>2.4000000000000057</c:v>
                  </c:pt>
                  <c:pt idx="2">
                    <c:v>4.2999999999999829</c:v>
                  </c:pt>
                  <c:pt idx="3">
                    <c:v>7.4000000000000057</c:v>
                  </c:pt>
                  <c:pt idx="4">
                    <c:v>8</c:v>
                  </c:pt>
                </c:numCache>
              </c:numRef>
            </c:minus>
            <c:spPr>
              <a:prstGeom prst="rect">
                <a:avLst/>
              </a:prstGeom>
              <a:ln w="12700">
                <a:solidFill>
                  <a:srgbClr val="A5A5A5">
                    <a:lumMod val="50000"/>
                  </a:srgbClr>
                </a:solidFill>
              </a:ln>
            </c:spPr>
          </c:errBars>
          <c:xVal>
            <c:numRef>
              <c:f>'svf (with all curves)'!$N$3:$N$7</c:f>
              <c:numCache>
                <c:formatCode>General</c:formatCode>
                <c:ptCount val="5"/>
                <c:pt idx="0">
                  <c:v>0</c:v>
                </c:pt>
                <c:pt idx="1">
                  <c:v>0.46666666666666662</c:v>
                </c:pt>
                <c:pt idx="2">
                  <c:v>0.94166666666666676</c:v>
                </c:pt>
                <c:pt idx="3">
                  <c:v>1.9749999999999999</c:v>
                </c:pt>
                <c:pt idx="4">
                  <c:v>2.8916666666666671</c:v>
                </c:pt>
              </c:numCache>
            </c:numRef>
          </c:xVal>
          <c:yVal>
            <c:numRef>
              <c:f>'svf (with all curves)'!$O$3:$O$7</c:f>
              <c:numCache>
                <c:formatCode>General</c:formatCode>
                <c:ptCount val="5"/>
                <c:pt idx="0">
                  <c:v>100</c:v>
                </c:pt>
                <c:pt idx="1">
                  <c:v>99.7</c:v>
                </c:pt>
                <c:pt idx="2">
                  <c:v>96.399999999999991</c:v>
                </c:pt>
                <c:pt idx="3">
                  <c:v>91.5</c:v>
                </c:pt>
                <c:pt idx="4">
                  <c:v>85.8</c:v>
                </c:pt>
              </c:numCache>
            </c:numRef>
          </c:yVal>
          <c:smooth val="0"/>
          <c:extLst>
            <c:ext xmlns:c16="http://schemas.microsoft.com/office/drawing/2014/chart" uri="{C3380CC4-5D6E-409C-BE32-E72D297353CC}">
              <c16:uniqueId val="{0000000B-E681-4B6C-A9B9-71BA6B5063F4}"/>
            </c:ext>
          </c:extLst>
        </c:ser>
        <c:ser>
          <c:idx val="7"/>
          <c:order val="8"/>
          <c:tx>
            <c:strRef>
              <c:f>'svf (with all curves)'!$L$8</c:f>
              <c:strCache>
                <c:ptCount val="1"/>
                <c:pt idx="0">
                  <c:v>Aboisso (Interceptor® G2)</c:v>
                </c:pt>
              </c:strCache>
            </c:strRef>
          </c:tx>
          <c:spPr>
            <a:ln w="12700"/>
          </c:spPr>
          <c:marker>
            <c:symbol val="diamond"/>
            <c:size val="6"/>
          </c:marker>
          <c:errBars>
            <c:errDir val="y"/>
            <c:errBarType val="both"/>
            <c:errValType val="cust"/>
            <c:noEndCap val="0"/>
            <c:plus>
              <c:numRef>
                <c:f>'svf (with all curves)'!$O$37:$O$41</c:f>
                <c:numCache>
                  <c:formatCode>General</c:formatCode>
                  <c:ptCount val="5"/>
                  <c:pt idx="0">
                    <c:v>0</c:v>
                  </c:pt>
                  <c:pt idx="1">
                    <c:v>1</c:v>
                  </c:pt>
                  <c:pt idx="2">
                    <c:v>1.2000000000000028</c:v>
                  </c:pt>
                  <c:pt idx="3">
                    <c:v>6.2000000000000028</c:v>
                  </c:pt>
                  <c:pt idx="4">
                    <c:v>8.7000000000000028</c:v>
                  </c:pt>
                </c:numCache>
              </c:numRef>
            </c:plus>
            <c:minus>
              <c:numRef>
                <c:f>'svf (with all curves)'!$N$37:$N$41</c:f>
                <c:numCache>
                  <c:formatCode>General</c:formatCode>
                  <c:ptCount val="5"/>
                  <c:pt idx="0">
                    <c:v>0</c:v>
                  </c:pt>
                  <c:pt idx="1">
                    <c:v>2.2000000000000028</c:v>
                  </c:pt>
                  <c:pt idx="2">
                    <c:v>2.4000000000000057</c:v>
                  </c:pt>
                  <c:pt idx="3">
                    <c:v>9.2000000000000028</c:v>
                  </c:pt>
                  <c:pt idx="4">
                    <c:v>10.999999999999993</c:v>
                  </c:pt>
                </c:numCache>
              </c:numRef>
            </c:minus>
            <c:spPr>
              <a:prstGeom prst="rect">
                <a:avLst/>
              </a:prstGeom>
              <a:ln w="12700">
                <a:solidFill>
                  <a:srgbClr val="C0504D"/>
                </a:solidFill>
              </a:ln>
            </c:spPr>
          </c:errBars>
          <c:xVal>
            <c:numRef>
              <c:f>'svf (with all curves)'!$N$8:$N$12</c:f>
              <c:numCache>
                <c:formatCode>General</c:formatCode>
                <c:ptCount val="5"/>
                <c:pt idx="0">
                  <c:v>0</c:v>
                </c:pt>
                <c:pt idx="1">
                  <c:v>0.46666666666666662</c:v>
                </c:pt>
                <c:pt idx="2">
                  <c:v>0.94166666666666676</c:v>
                </c:pt>
                <c:pt idx="3">
                  <c:v>1.9749999999999999</c:v>
                </c:pt>
                <c:pt idx="4">
                  <c:v>2.8916666666666671</c:v>
                </c:pt>
              </c:numCache>
            </c:numRef>
          </c:xVal>
          <c:yVal>
            <c:numRef>
              <c:f>'svf (with all curves)'!$O$8:$O$12</c:f>
              <c:numCache>
                <c:formatCode>General</c:formatCode>
                <c:ptCount val="5"/>
                <c:pt idx="0">
                  <c:v>100</c:v>
                </c:pt>
                <c:pt idx="1">
                  <c:v>98.3</c:v>
                </c:pt>
                <c:pt idx="2">
                  <c:v>97.6</c:v>
                </c:pt>
                <c:pt idx="3">
                  <c:v>84.5</c:v>
                </c:pt>
                <c:pt idx="4">
                  <c:v>73.099999999999994</c:v>
                </c:pt>
              </c:numCache>
            </c:numRef>
          </c:yVal>
          <c:smooth val="0"/>
          <c:extLst>
            <c:ext xmlns:c16="http://schemas.microsoft.com/office/drawing/2014/chart" uri="{C3380CC4-5D6E-409C-BE32-E72D297353CC}">
              <c16:uniqueId val="{0000000C-E681-4B6C-A9B9-71BA6B5063F4}"/>
            </c:ext>
          </c:extLst>
        </c:ser>
        <c:dLbls>
          <c:showLegendKey val="0"/>
          <c:showVal val="0"/>
          <c:showCatName val="0"/>
          <c:showSerName val="0"/>
          <c:showPercent val="0"/>
          <c:showBubbleSize val="0"/>
        </c:dLbls>
        <c:axId val="508262960"/>
        <c:axId val="508260608"/>
        <c:extLst>
          <c:ext xmlns:c15="http://schemas.microsoft.com/office/drawing/2012/chart" uri="{02D57815-91ED-43cb-92C2-25804820EDAC}">
            <c15:filteredScatterSeries>
              <c15:ser>
                <c:idx val="4"/>
                <c:order val="9"/>
                <c:tx>
                  <c:strRef>
                    <c:extLst>
                      <c:ext uri="{02D57815-91ED-43cb-92C2-25804820EDAC}">
                        <c15:formulaRef>
                          <c15:sqref>'svf (with all curves)'!$L$13</c15:sqref>
                        </c15:formulaRef>
                      </c:ext>
                    </c:extLst>
                    <c:strCache>
                      <c:ptCount val="1"/>
                      <c:pt idx="0">
                        <c:v> ()</c:v>
                      </c:pt>
                    </c:strCache>
                  </c:strRef>
                </c:tx>
                <c:spPr>
                  <a:prstGeom prst="rect">
                    <a:avLst/>
                  </a:prstGeom>
                  <a:ln w="12700">
                    <a:solidFill>
                      <a:srgbClr val="5B9BD5"/>
                    </a:solidFill>
                  </a:ln>
                </c:spPr>
                <c:marker>
                  <c:symbol val="x"/>
                  <c:size val="5"/>
                </c:marker>
                <c:errBars>
                  <c:errDir val="y"/>
                  <c:errBarType val="both"/>
                  <c:errValType val="cust"/>
                  <c:noEndCap val="0"/>
                  <c:spPr>
                    <a:prstGeom prst="rect">
                      <a:avLst/>
                    </a:prstGeom>
                    <a:ln w="12700">
                      <a:solidFill>
                        <a:srgbClr val="5B9BD5"/>
                      </a:solidFill>
                    </a:ln>
                  </c:spPr>
                </c:errBars>
                <c:xVal>
                  <c:numRef>
                    <c:extLst>
                      <c:ext uri="{02D57815-91ED-43cb-92C2-25804820EDAC}">
                        <c15:formulaRef>
                          <c15:sqref>'svf (with all curves)'!$N$13:$N$17</c15:sqref>
                        </c15:formulaRef>
                      </c:ext>
                    </c:extLst>
                    <c:numCache>
                      <c:formatCode>General</c:formatCode>
                      <c:ptCount val="5"/>
                      <c:pt idx="0">
                        <c:v>0</c:v>
                      </c:pt>
                      <c:pt idx="1">
                        <c:v>#N/A</c:v>
                      </c:pt>
                      <c:pt idx="2">
                        <c:v>#N/A</c:v>
                      </c:pt>
                      <c:pt idx="3">
                        <c:v>#N/A</c:v>
                      </c:pt>
                      <c:pt idx="4">
                        <c:v>#N/A</c:v>
                      </c:pt>
                    </c:numCache>
                  </c:numRef>
                </c:xVal>
                <c:yVal>
                  <c:numRef>
                    <c:extLst>
                      <c:ext uri="{02D57815-91ED-43cb-92C2-25804820EDAC}">
                        <c15:formulaRef>
                          <c15:sqref>'svf (with all curves)'!$O$13:$O$17</c15:sqref>
                        </c15:formulaRef>
                      </c:ext>
                    </c:extLst>
                    <c:numCache>
                      <c:formatCode>General</c:formatCode>
                      <c:ptCount val="5"/>
                      <c:pt idx="0">
                        <c:v>100</c:v>
                      </c:pt>
                      <c:pt idx="1">
                        <c:v>96.1</c:v>
                      </c:pt>
                      <c:pt idx="2">
                        <c:v>97.1</c:v>
                      </c:pt>
                      <c:pt idx="3">
                        <c:v>87.8</c:v>
                      </c:pt>
                      <c:pt idx="4">
                        <c:v>79.100000000000009</c:v>
                      </c:pt>
                    </c:numCache>
                  </c:numRef>
                </c:yVal>
                <c:smooth val="1"/>
                <c:extLst>
                  <c:ext xmlns:c16="http://schemas.microsoft.com/office/drawing/2014/chart" uri="{C3380CC4-5D6E-409C-BE32-E72D297353CC}">
                    <c16:uniqueId val="{0000000D-E681-4B6C-A9B9-71BA6B5063F4}"/>
                  </c:ext>
                </c:extLst>
              </c15:ser>
            </c15:filteredScatterSeries>
          </c:ext>
        </c:extLst>
      </c:scatterChart>
      <c:valAx>
        <c:axId val="650315176"/>
        <c:scaling>
          <c:orientation val="minMax"/>
          <c:max val="10"/>
        </c:scaling>
        <c:delete val="0"/>
        <c:axPos val="b"/>
        <c:majorGridlines>
          <c:spPr>
            <a:prstGeom prst="rect">
              <a:avLst/>
            </a:prstGeom>
            <a:ln>
              <a:solidFill>
                <a:schemeClr val="bg1">
                  <a:lumMod val="85000"/>
                </a:schemeClr>
              </a:solidFill>
              <a:prstDash val="dash"/>
            </a:ln>
          </c:spPr>
        </c:majorGridlines>
        <c:title>
          <c:tx>
            <c:rich>
              <a:bodyPr/>
              <a:lstStyle/>
              <a:p>
                <a:pPr>
                  <a:defRPr sz="1200" b="0"/>
                </a:pPr>
                <a:r>
                  <a:rPr lang="en-US" sz="1200" b="0"/>
                  <a:t>Years since distribution</a:t>
                </a:r>
                <a:endParaRPr lang="en-US"/>
              </a:p>
            </c:rich>
          </c:tx>
          <c:overlay val="0"/>
        </c:title>
        <c:numFmt formatCode="General" sourceLinked="1"/>
        <c:majorTickMark val="out"/>
        <c:minorTickMark val="none"/>
        <c:tickLblPos val="nextTo"/>
        <c:txPr>
          <a:bodyPr/>
          <a:lstStyle/>
          <a:p>
            <a:pPr>
              <a:defRPr sz="1200"/>
            </a:pPr>
            <a:endParaRPr lang="en-US"/>
          </a:p>
        </c:txPr>
        <c:crossAx val="650325368"/>
        <c:crosses val="autoZero"/>
        <c:crossBetween val="midCat"/>
        <c:majorUnit val="1"/>
      </c:valAx>
      <c:valAx>
        <c:axId val="650325368"/>
        <c:scaling>
          <c:orientation val="minMax"/>
          <c:max val="100"/>
          <c:min val="0"/>
        </c:scaling>
        <c:delete val="0"/>
        <c:axPos val="l"/>
        <c:title>
          <c:tx>
            <c:rich>
              <a:bodyPr rot="-5400000" vert="horz"/>
              <a:lstStyle/>
              <a:p>
                <a:pPr>
                  <a:defRPr sz="1200" b="0"/>
                </a:pPr>
                <a:r>
                  <a:rPr lang="en-US" sz="1200" b="0"/>
                  <a:t>% of nets surviving</a:t>
                </a:r>
                <a:endParaRPr lang="en-US"/>
              </a:p>
            </c:rich>
          </c:tx>
          <c:overlay val="0"/>
        </c:title>
        <c:numFmt formatCode="#,##0" sourceLinked="0"/>
        <c:majorTickMark val="out"/>
        <c:minorTickMark val="none"/>
        <c:tickLblPos val="nextTo"/>
        <c:txPr>
          <a:bodyPr/>
          <a:lstStyle/>
          <a:p>
            <a:pPr>
              <a:defRPr sz="1200"/>
            </a:pPr>
            <a:endParaRPr lang="en-US"/>
          </a:p>
        </c:txPr>
        <c:crossAx val="650315176"/>
        <c:crosses val="autoZero"/>
        <c:crossBetween val="midCat"/>
        <c:majorUnit val="10"/>
      </c:valAx>
      <c:valAx>
        <c:axId val="508260608"/>
        <c:scaling>
          <c:orientation val="minMax"/>
          <c:max val="100"/>
          <c:min val="0"/>
        </c:scaling>
        <c:delete val="1"/>
        <c:axPos val="r"/>
        <c:numFmt formatCode="#,##0" sourceLinked="1"/>
        <c:majorTickMark val="out"/>
        <c:minorTickMark val="none"/>
        <c:tickLblPos val="nextTo"/>
        <c:crossAx val="508262960"/>
        <c:crosses val="max"/>
        <c:crossBetween val="midCat"/>
        <c:majorUnit val="10"/>
      </c:valAx>
      <c:valAx>
        <c:axId val="508262960"/>
        <c:scaling>
          <c:orientation val="minMax"/>
        </c:scaling>
        <c:delete val="1"/>
        <c:axPos val="b"/>
        <c:numFmt formatCode="General" sourceLinked="1"/>
        <c:majorTickMark val="out"/>
        <c:minorTickMark val="none"/>
        <c:tickLblPos val="nextTo"/>
        <c:crossAx val="508260608"/>
        <c:crosses val="autoZero"/>
        <c:crossBetween val="midCat"/>
      </c:valAx>
      <c:spPr>
        <a:prstGeom prst="rect">
          <a:avLst/>
        </a:prstGeom>
        <a:ln>
          <a:solidFill>
            <a:schemeClr val="tx1"/>
          </a:solidFill>
        </a:ln>
      </c:spPr>
    </c:plotArea>
    <c:legend>
      <c:legendPos val="r"/>
      <c:layout>
        <c:manualLayout>
          <c:xMode val="edge"/>
          <c:yMode val="edge"/>
          <c:x val="0.70045915248880164"/>
          <c:y val="9.6955276357271677E-2"/>
          <c:w val="0.29954084751119825"/>
          <c:h val="0.79153197999225422"/>
        </c:manualLayout>
      </c:layout>
      <c:overlay val="0"/>
      <c:txPr>
        <a:bodyPr/>
        <a:lstStyle/>
        <a:p>
          <a:pPr>
            <a:defRPr sz="1000"/>
          </a:pPr>
          <a:endParaRPr lang="en-US"/>
        </a:p>
      </c:txPr>
    </c:legend>
    <c:plotVisOnly val="1"/>
    <c:dispBlanksAs val="gap"/>
    <c:showDLblsOverMax val="0"/>
  </c:chart>
  <c:spPr>
    <a:xfrm>
      <a:off x="0" y="0"/>
      <a:ext cx="0" cy="0"/>
    </a:xfrm>
    <a:prstGeom prst="rect">
      <a:avLst/>
    </a:prstGeom>
    <a:solidFill>
      <a:sysClr val="window" lastClr="FFFFFF"/>
    </a:solidFill>
    <a:ln>
      <a:noFill/>
    </a:ln>
  </c:spPr>
  <c:txPr>
    <a:bodyPr/>
    <a:lstStyle/>
    <a:p>
      <a:pPr>
        <a:defRPr sz="1600"/>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0.09928</cdr:x>
      <cdr:y>0.45306</cdr:y>
    </cdr:from>
    <cdr:to>
      <cdr:x>0.68634</cdr:x>
      <cdr:y>0.45845</cdr:y>
    </cdr:to>
    <cdr:cxnSp macro="">
      <cdr:nvCxnSpPr>
        <cdr:cNvPr id="3" name="Straight Connector 2">
          <a:extLst xmlns:a="http://schemas.openxmlformats.org/drawingml/2006/main">
            <a:ext uri="{FF2B5EF4-FFF2-40B4-BE49-F238E27FC236}">
              <a16:creationId xmlns:a16="http://schemas.microsoft.com/office/drawing/2014/main" id="{549114F1-4B28-9FA7-402A-0DE054BDF7C4}"/>
            </a:ext>
          </a:extLst>
        </cdr:cNvPr>
        <cdr:cNvCxnSpPr>
          <a:cxnSpLocks xmlns:a="http://schemas.openxmlformats.org/drawingml/2006/main"/>
        </cdr:cNvCxnSpPr>
      </cdr:nvCxnSpPr>
      <cdr:spPr bwMode="auto">
        <a:xfrm xmlns:a="http://schemas.openxmlformats.org/drawingml/2006/main">
          <a:off x="620838" y="1546511"/>
          <a:ext cx="3671058" cy="18411"/>
        </a:xfrm>
        <a:prstGeom xmlns:a="http://schemas.openxmlformats.org/drawingml/2006/main" prst="line">
          <a:avLst/>
        </a:prstGeom>
        <a:ln xmlns:a="http://schemas.openxmlformats.org/drawingml/2006/main">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9k7gBt/D17PEJP0aHogi6BCA5w==">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2d8ac4-480f-42af-94c3-1b0dbed1eec5">
      <Terms xmlns="http://schemas.microsoft.com/office/infopath/2007/PartnerControls"/>
    </lcf76f155ced4ddcb4097134ff3c332f>
    <TaxCatchAll xmlns="1011fb24-49a0-463f-ada9-a8217d0aa2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A194C411A66A43AF5A340052B5B424" ma:contentTypeVersion="14" ma:contentTypeDescription="Create a new document." ma:contentTypeScope="" ma:versionID="be6454ba4e745c1fafc39a7db4cd01d0">
  <xsd:schema xmlns:xsd="http://www.w3.org/2001/XMLSchema" xmlns:xs="http://www.w3.org/2001/XMLSchema" xmlns:p="http://schemas.microsoft.com/office/2006/metadata/properties" xmlns:ns2="a72d8ac4-480f-42af-94c3-1b0dbed1eec5" xmlns:ns3="1011fb24-49a0-463f-ada9-a8217d0aa252" targetNamespace="http://schemas.microsoft.com/office/2006/metadata/properties" ma:root="true" ma:fieldsID="a1b80db0e024994b252e5c2c51f3169e" ns2:_="" ns3:_="">
    <xsd:import namespace="a72d8ac4-480f-42af-94c3-1b0dbed1eec5"/>
    <xsd:import namespace="1011fb24-49a0-463f-ada9-a8217d0aa2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d8ac4-480f-42af-94c3-1b0dbed1e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66e25-6253-4f8b-9755-5684a1ad78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11fb24-49a0-463f-ada9-a8217d0aa2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56d3d7-c4bd-480e-a7f5-ac66688d63d6}" ma:internalName="TaxCatchAll" ma:showField="CatchAllData" ma:web="1011fb24-49a0-463f-ada9-a8217d0aa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500CD-03DB-42FD-94CD-2815BA4CE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5042A0A-A821-42B7-A578-1C1653C06238}">
  <ds:schemaRefs>
    <ds:schemaRef ds:uri="http://schemas.microsoft.com/office/2006/metadata/properties"/>
    <ds:schemaRef ds:uri="http://schemas.microsoft.com/office/infopath/2007/PartnerControls"/>
    <ds:schemaRef ds:uri="a72d8ac4-480f-42af-94c3-1b0dbed1eec5"/>
    <ds:schemaRef ds:uri="1011fb24-49a0-463f-ada9-a8217d0aa252"/>
  </ds:schemaRefs>
</ds:datastoreItem>
</file>

<file path=customXml/itemProps4.xml><?xml version="1.0" encoding="utf-8"?>
<ds:datastoreItem xmlns:ds="http://schemas.openxmlformats.org/officeDocument/2006/customXml" ds:itemID="{8E0483C4-FEAE-4347-8146-812E00AF8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d8ac4-480f-42af-94c3-1b0dbed1eec5"/>
    <ds:schemaRef ds:uri="1011fb24-49a0-463f-ada9-a8217d0aa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3D3FEB-0EA9-4FBB-9189-94CC1E24F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Links>
    <vt:vector size="60" baseType="variant">
      <vt:variant>
        <vt:i4>1376297</vt:i4>
      </vt:variant>
      <vt:variant>
        <vt:i4>21</vt:i4>
      </vt:variant>
      <vt:variant>
        <vt:i4>0</vt:i4>
      </vt:variant>
      <vt:variant>
        <vt:i4>5</vt:i4>
      </vt:variant>
      <vt:variant>
        <vt:lpwstr>https://www.durabilitymonitoring.org/?page_id=10</vt:lpwstr>
      </vt:variant>
      <vt:variant>
        <vt:lpwstr/>
      </vt:variant>
      <vt:variant>
        <vt:i4>655372</vt:i4>
      </vt:variant>
      <vt:variant>
        <vt:i4>18</vt:i4>
      </vt:variant>
      <vt:variant>
        <vt:i4>0</vt:i4>
      </vt:variant>
      <vt:variant>
        <vt:i4>5</vt:i4>
      </vt:variant>
      <vt:variant>
        <vt:lpwstr>https://view.officeapps.live.com/op/view.aspx?src=https%3A%2F%2Fwww.durabilitymonitoring.org%2Fwp-content%2Fuploads%2F2024%2F05%2FPMI-VectorLink-Sierra-Leone-36-Month-DM-Snapshot-with-Bioassays-and-Chemical-Results-clean.docx&amp;wdOrigin=BROWSELINK</vt:lpwstr>
      </vt:variant>
      <vt:variant>
        <vt:lpwstr/>
      </vt:variant>
      <vt:variant>
        <vt:i4>7012471</vt:i4>
      </vt:variant>
      <vt:variant>
        <vt:i4>15</vt:i4>
      </vt:variant>
      <vt:variant>
        <vt:i4>0</vt:i4>
      </vt:variant>
      <vt:variant>
        <vt:i4>5</vt:i4>
      </vt:variant>
      <vt:variant>
        <vt:lpwstr>https://view.officeapps.live.com/op/view.aspx?src=https%3A%2F%2Fwww.durabilitymonitoring.org%2Fwp-content%2Fuploads%2F2024%2F02%2FPMI-Evolve-Rwanda-36M-ITN-DM-Report-APPROVED.docx&amp;wdOrigin=BROWSELINK</vt:lpwstr>
      </vt:variant>
      <vt:variant>
        <vt:lpwstr/>
      </vt:variant>
      <vt:variant>
        <vt:i4>6225949</vt:i4>
      </vt:variant>
      <vt:variant>
        <vt:i4>12</vt:i4>
      </vt:variant>
      <vt:variant>
        <vt:i4>0</vt:i4>
      </vt:variant>
      <vt:variant>
        <vt:i4>5</vt:i4>
      </vt:variant>
      <vt:variant>
        <vt:lpwstr>https://app.magicapp.org/</vt:lpwstr>
      </vt:variant>
      <vt:variant>
        <vt:lpwstr>/guideline/LwRMXj</vt:lpwstr>
      </vt:variant>
      <vt:variant>
        <vt:i4>3997741</vt:i4>
      </vt:variant>
      <vt:variant>
        <vt:i4>9</vt:i4>
      </vt:variant>
      <vt:variant>
        <vt:i4>0</vt:i4>
      </vt:variant>
      <vt:variant>
        <vt:i4>5</vt:i4>
      </vt:variant>
      <vt:variant>
        <vt:lpwstr>https://www.dhsprogram.com/pubs/pdf/FR385/FR385.pdf</vt:lpwstr>
      </vt:variant>
      <vt:variant>
        <vt:lpwstr/>
      </vt:variant>
      <vt:variant>
        <vt:i4>2818107</vt:i4>
      </vt:variant>
      <vt:variant>
        <vt:i4>6</vt:i4>
      </vt:variant>
      <vt:variant>
        <vt:i4>0</vt:i4>
      </vt:variant>
      <vt:variant>
        <vt:i4>5</vt:i4>
      </vt:variant>
      <vt:variant>
        <vt:lpwstr>https://breakthroughactionandresearch.org/resources/itn-use-and-access-report/cote-divoire/</vt:lpwstr>
      </vt:variant>
      <vt:variant>
        <vt:lpwstr/>
      </vt:variant>
      <vt:variant>
        <vt:i4>262146</vt:i4>
      </vt:variant>
      <vt:variant>
        <vt:i4>3</vt:i4>
      </vt:variant>
      <vt:variant>
        <vt:i4>0</vt:i4>
      </vt:variant>
      <vt:variant>
        <vt:i4>5</vt:i4>
      </vt:variant>
      <vt:variant>
        <vt:lpwstr>https://doi.org/10.4269/ajtmh.19-0249</vt:lpwstr>
      </vt:variant>
      <vt:variant>
        <vt:lpwstr/>
      </vt:variant>
      <vt:variant>
        <vt:i4>6226002</vt:i4>
      </vt:variant>
      <vt:variant>
        <vt:i4>0</vt:i4>
      </vt:variant>
      <vt:variant>
        <vt:i4>0</vt:i4>
      </vt:variant>
      <vt:variant>
        <vt:i4>5</vt:i4>
      </vt:variant>
      <vt:variant>
        <vt:lpwstr>http://www.durabilitymonitoring.org/</vt:lpwstr>
      </vt:variant>
      <vt:variant>
        <vt:lpwstr/>
      </vt:variant>
      <vt:variant>
        <vt:i4>5570606</vt:i4>
      </vt:variant>
      <vt:variant>
        <vt:i4>3</vt:i4>
      </vt:variant>
      <vt:variant>
        <vt:i4>0</vt:i4>
      </vt:variant>
      <vt:variant>
        <vt:i4>5</vt:i4>
      </vt:variant>
      <vt:variant>
        <vt:lpwstr>https://allianceformalariaprevention.com/wp-content/uploads/2024/05/GuidanceCommunityLeaders_EN-1.pdf</vt:lpwstr>
      </vt:variant>
      <vt:variant>
        <vt:lpwstr/>
      </vt:variant>
      <vt:variant>
        <vt:i4>65655</vt:i4>
      </vt:variant>
      <vt:variant>
        <vt:i4>0</vt:i4>
      </vt:variant>
      <vt:variant>
        <vt:i4>0</vt:i4>
      </vt:variant>
      <vt:variant>
        <vt:i4>5</vt:i4>
      </vt:variant>
      <vt:variant>
        <vt:lpwstr>https://allianceformalariaprevention.com/wp-content/uploads/2022/05/AMP_Messages_new_nets_EN_20220419.pdf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Katheleen Linton</dc:creator>
  <cp:keywords/>
  <cp:lastModifiedBy>Barbara DeSilva</cp:lastModifiedBy>
  <cp:revision>9</cp:revision>
  <dcterms:created xsi:type="dcterms:W3CDTF">2024-09-25T19:37:00Z</dcterms:created>
  <dcterms:modified xsi:type="dcterms:W3CDTF">2024-10-11T18:12:00Z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0x0101001CA194C411A66A43AF5A340052B5B424</vt:lpwstr>
  </property>
  <property fmtid="{D5CDD505-2E9C-101B-9397-08002B2CF9AE}" pid="3" name="MediaServiceImageTags">
    <vt:lpwstr/>
  </property>
</Properties>
</file>